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635853" w:rsidRDefault="0063585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942BFB">
      <w:pPr>
        <w:jc w:val="center"/>
        <w:rPr>
          <w:rFonts w:ascii="Arial Narrow" w:hAnsi="Arial Narrow"/>
          <w:b/>
          <w:sz w:val="28"/>
          <w:szCs w:val="28"/>
          <w:lang w:val="en-ZA"/>
        </w:rPr>
      </w:pPr>
      <w:r>
        <w:rPr>
          <w:rFonts w:ascii="Arial Narrow" w:hAnsi="Arial Narrow" w:cs="Arial"/>
          <w:b/>
          <w:color w:val="000000"/>
          <w:sz w:val="28"/>
          <w:szCs w:val="28"/>
        </w:rPr>
        <w:t xml:space="preserve">DESCRIPTION: - </w:t>
      </w:r>
      <w:r w:rsidR="00D64C28" w:rsidRPr="00D64C28">
        <w:rPr>
          <w:rFonts w:ascii="Arial Narrow" w:hAnsi="Arial Narrow"/>
          <w:b/>
          <w:sz w:val="28"/>
          <w:szCs w:val="28"/>
        </w:rPr>
        <w:t>S</w:t>
      </w:r>
      <w:r w:rsidR="00942BFB">
        <w:rPr>
          <w:rFonts w:ascii="Arial Narrow" w:hAnsi="Arial Narrow"/>
          <w:b/>
          <w:sz w:val="28"/>
          <w:szCs w:val="28"/>
        </w:rPr>
        <w:t>hredder</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000ED9">
        <w:rPr>
          <w:rFonts w:ascii="Arial Narrow" w:eastAsia="Calibri" w:hAnsi="Arial Narrow" w:cs="Arial"/>
          <w:b/>
          <w:color w:val="0000FF"/>
          <w:sz w:val="28"/>
          <w:szCs w:val="28"/>
          <w:lang w:val="en-ZA"/>
        </w:rPr>
        <w:t>Chemical 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8D1A7C">
        <w:rPr>
          <w:rFonts w:ascii="Arial Narrow" w:eastAsia="Calibri" w:hAnsi="Arial Narrow" w:cs="Arial"/>
          <w:b/>
          <w:sz w:val="28"/>
          <w:szCs w:val="28"/>
          <w:lang w:val="en-ZA"/>
        </w:rPr>
        <w:t>006950</w:t>
      </w:r>
      <w:r w:rsidR="00942BFB">
        <w:rPr>
          <w:rFonts w:ascii="Arial Narrow" w:eastAsia="Calibri" w:hAnsi="Arial Narrow" w:cs="Arial"/>
          <w:b/>
          <w:sz w:val="28"/>
          <w:szCs w:val="28"/>
          <w:lang w:val="en-ZA"/>
        </w:rPr>
        <w:t>7</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42BFB">
        <w:rPr>
          <w:rFonts w:ascii="Arial Narrow" w:eastAsia="Calibri" w:hAnsi="Arial Narrow" w:cs="Arial"/>
          <w:b/>
          <w:sz w:val="28"/>
          <w:szCs w:val="28"/>
          <w:lang w:val="en-ZA"/>
        </w:rPr>
        <w:t xml:space="preserve"> - 20 February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AF6D7F">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42BF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8D1A7C">
              <w:rPr>
                <w:rFonts w:ascii="Arial Narrow" w:hAnsi="Arial Narrow"/>
                <w:b/>
                <w:sz w:val="20"/>
                <w:lang w:val="en-GB"/>
              </w:rPr>
              <w:t>06950</w:t>
            </w:r>
            <w:r w:rsidR="00942BFB">
              <w:rPr>
                <w:rFonts w:ascii="Arial Narrow" w:hAnsi="Arial Narrow"/>
                <w:b/>
                <w:sz w:val="20"/>
                <w:lang w:val="en-GB"/>
              </w:rPr>
              <w:t>7</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942BFB"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20 February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942BFB" w:rsidP="008D1A7C">
            <w:pPr>
              <w:rPr>
                <w:rFonts w:ascii="Arial Narrow" w:hAnsi="Arial Narrow" w:cs="Arial"/>
                <w:b/>
                <w:color w:val="000000"/>
                <w:sz w:val="20"/>
                <w:szCs w:val="20"/>
              </w:rPr>
            </w:pPr>
            <w:r>
              <w:rPr>
                <w:rFonts w:ascii="Arial Narrow" w:hAnsi="Arial Narrow"/>
                <w:b/>
                <w:sz w:val="20"/>
                <w:szCs w:val="20"/>
              </w:rPr>
              <w:t>Shredder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 Loubser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021.938.5606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AF6D7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000ED9"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debra.loubser@nhls.ac.za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6D7F">
              <w:rPr>
                <w:rFonts w:ascii="Arial Narrow" w:hAnsi="Arial Narrow"/>
                <w:sz w:val="20"/>
                <w:lang w:val="en-GB"/>
              </w:rPr>
            </w:r>
            <w:r w:rsidR="00AF6D7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8D1A7C">
              <w:rPr>
                <w:rFonts w:ascii="Arial Narrow" w:hAnsi="Arial Narrow"/>
                <w:b/>
                <w:sz w:val="22"/>
                <w:szCs w:val="22"/>
              </w:rPr>
              <w:t>Bid number: RFQ No: - 006950</w:t>
            </w:r>
            <w:r w:rsidR="00942BFB">
              <w:rPr>
                <w:rFonts w:ascii="Arial Narrow" w:hAnsi="Arial Narrow"/>
                <w:b/>
                <w:sz w:val="22"/>
                <w:szCs w:val="22"/>
              </w:rPr>
              <w:t>7</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942BFB">
              <w:rPr>
                <w:rFonts w:ascii="Arial Narrow" w:hAnsi="Arial Narrow"/>
                <w:b/>
                <w:sz w:val="22"/>
                <w:szCs w:val="22"/>
              </w:rPr>
              <w:t>20 February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000ED9">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8D1A7C" w:rsidRPr="008D1A7C">
        <w:rPr>
          <w:rFonts w:ascii="Arial Narrow" w:hAnsi="Arial Narrow"/>
        </w:rPr>
        <w:t>S</w:t>
      </w:r>
      <w:r w:rsidR="00942BFB">
        <w:rPr>
          <w:rFonts w:ascii="Arial Narrow" w:hAnsi="Arial Narrow"/>
        </w:rPr>
        <w:t>hredder</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942BFB" w:rsidP="00543ECF">
      <w:pPr>
        <w:rPr>
          <w:noProof/>
        </w:rPr>
      </w:pPr>
      <w:r w:rsidRPr="00942BFB">
        <w:rPr>
          <w:noProof/>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7F" w:rsidRDefault="00AF6D7F">
      <w:r>
        <w:separator/>
      </w:r>
    </w:p>
  </w:endnote>
  <w:endnote w:type="continuationSeparator" w:id="0">
    <w:p w:rsidR="00AF6D7F" w:rsidRDefault="00AF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53" w:rsidRDefault="00AF6D7F">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635853" w:rsidRPr="001732F5" w:rsidRDefault="0063585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942BFB">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35853" w:rsidRDefault="006358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7F" w:rsidRDefault="00AF6D7F">
      <w:r>
        <w:separator/>
      </w:r>
    </w:p>
  </w:footnote>
  <w:footnote w:type="continuationSeparator" w:id="0">
    <w:p w:rsidR="00AF6D7F" w:rsidRDefault="00AF6D7F">
      <w:r>
        <w:continuationSeparator/>
      </w:r>
    </w:p>
  </w:footnote>
  <w:footnote w:id="1">
    <w:p w:rsidR="00635853" w:rsidRDefault="0063585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35853" w:rsidRDefault="00635853" w:rsidP="003B72E5">
      <w:pPr>
        <w:pStyle w:val="FootnoteText"/>
      </w:pPr>
    </w:p>
    <w:p w:rsidR="00635853" w:rsidRDefault="00635853" w:rsidP="003B72E5">
      <w:pPr>
        <w:pStyle w:val="FootnoteText"/>
      </w:pPr>
    </w:p>
  </w:footnote>
  <w:footnote w:id="2">
    <w:p w:rsidR="00635853" w:rsidRDefault="0063585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635853" w:rsidRPr="00B677D5" w:rsidTr="00C31B10">
      <w:trPr>
        <w:trHeight w:val="240"/>
      </w:trPr>
      <w:tc>
        <w:tcPr>
          <w:tcW w:w="4675" w:type="dxa"/>
        </w:tcPr>
        <w:p w:rsidR="00635853" w:rsidRPr="00B677D5" w:rsidRDefault="00635853"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635853" w:rsidRPr="00245D1F" w:rsidRDefault="00635853" w:rsidP="00C31B10">
          <w:pPr>
            <w:tabs>
              <w:tab w:val="left" w:pos="990"/>
              <w:tab w:val="left" w:pos="1170"/>
            </w:tabs>
            <w:ind w:left="252"/>
            <w:contextualSpacing/>
            <w:rPr>
              <w:rFonts w:ascii="Arial Narrow" w:eastAsia="Arial Unicode MS" w:hAnsi="Arial Narrow" w:cs="Arial Unicode MS"/>
              <w:b/>
              <w:bCs/>
              <w:sz w:val="16"/>
              <w:szCs w:val="16"/>
            </w:rPr>
          </w:pPr>
        </w:p>
        <w:p w:rsidR="008D1A7C" w:rsidRPr="008D1A7C" w:rsidRDefault="00635853" w:rsidP="008D1A7C">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942BFB" w:rsidRPr="00942BFB">
            <w:rPr>
              <w:rFonts w:ascii="Arial Narrow" w:hAnsi="Arial Narrow" w:cs="Arial"/>
              <w:b/>
              <w:color w:val="000000"/>
              <w:sz w:val="16"/>
              <w:szCs w:val="16"/>
            </w:rPr>
            <w:t>0069507</w:t>
          </w:r>
          <w:r w:rsidR="008D1A7C" w:rsidRPr="00942BFB">
            <w:rPr>
              <w:rFonts w:ascii="Arial Narrow" w:hAnsi="Arial Narrow" w:cs="Arial"/>
              <w:b/>
              <w:color w:val="000000"/>
              <w:sz w:val="16"/>
              <w:szCs w:val="16"/>
            </w:rPr>
            <w:t xml:space="preserve"> - </w:t>
          </w:r>
          <w:r w:rsidR="008D1A7C" w:rsidRPr="00942BFB">
            <w:rPr>
              <w:rFonts w:ascii="Arial Narrow" w:hAnsi="Arial Narrow"/>
              <w:b/>
              <w:sz w:val="16"/>
              <w:szCs w:val="16"/>
            </w:rPr>
            <w:t>S</w:t>
          </w:r>
          <w:r w:rsidR="00942BFB" w:rsidRPr="00942BFB">
            <w:rPr>
              <w:rFonts w:ascii="Arial Narrow" w:hAnsi="Arial Narrow"/>
              <w:b/>
              <w:sz w:val="16"/>
              <w:szCs w:val="16"/>
            </w:rPr>
            <w:t>hredder</w:t>
          </w:r>
        </w:p>
        <w:p w:rsidR="00635853" w:rsidRPr="00B677D5" w:rsidRDefault="00635853" w:rsidP="008D1A7C">
          <w:pPr>
            <w:pStyle w:val="Header"/>
            <w:tabs>
              <w:tab w:val="clear" w:pos="4320"/>
              <w:tab w:val="clear" w:pos="8640"/>
            </w:tabs>
            <w:ind w:left="252" w:right="69"/>
            <w:jc w:val="center"/>
            <w:rPr>
              <w:rFonts w:ascii="Arial" w:hAnsi="Arial" w:cs="Arial"/>
              <w:sz w:val="18"/>
              <w:szCs w:val="18"/>
            </w:rPr>
          </w:pPr>
        </w:p>
      </w:tc>
    </w:tr>
  </w:tbl>
  <w:p w:rsidR="00635853" w:rsidRPr="00A90F6B" w:rsidRDefault="00AF6D7F"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3BDD"/>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2BFB"/>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AF6D7F"/>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BA157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084E-71A9-441C-AAD3-62CF47AD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10171</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2024-02-13T12:49:00Z</dcterms:created>
  <dcterms:modified xsi:type="dcterms:W3CDTF">2024-02-13T12:54:00Z</dcterms:modified>
</cp:coreProperties>
</file>