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F6AA8" w:rsidRDefault="00CF6A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CF6AA8"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w:t>
      </w:r>
      <w:r w:rsidR="00652A25">
        <w:rPr>
          <w:rFonts w:ascii="Arial Narrow" w:hAnsi="Arial Narrow" w:cs="Arial"/>
          <w:b/>
          <w:color w:val="000000"/>
          <w:sz w:val="28"/>
          <w:szCs w:val="28"/>
        </w:rPr>
        <w:t>ESCRIPTION: - Flammable storage cabinet</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CD18BF">
        <w:rPr>
          <w:rFonts w:ascii="Arial Narrow" w:eastAsia="Calibri" w:hAnsi="Arial Narrow" w:cs="Arial"/>
          <w:b/>
          <w:color w:val="0000FF"/>
          <w:sz w:val="28"/>
          <w:szCs w:val="28"/>
          <w:lang w:val="en-ZA"/>
        </w:rPr>
        <w:t>Cytolog</w:t>
      </w:r>
      <w:r w:rsidR="00A37F60">
        <w:rPr>
          <w:rFonts w:ascii="Arial Narrow" w:eastAsia="Calibri" w:hAnsi="Arial Narrow" w:cs="Arial"/>
          <w:b/>
          <w:color w:val="0000FF"/>
          <w:sz w:val="28"/>
          <w:szCs w:val="28"/>
          <w:lang w:val="en-ZA"/>
        </w:rPr>
        <w:t>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2A25">
        <w:rPr>
          <w:rFonts w:ascii="Arial Narrow" w:eastAsia="Calibri" w:hAnsi="Arial Narrow" w:cs="Arial"/>
          <w:b/>
          <w:sz w:val="28"/>
          <w:szCs w:val="28"/>
          <w:lang w:val="en-ZA"/>
        </w:rPr>
        <w:t>0069518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4A4583">
        <w:rPr>
          <w:rFonts w:ascii="Arial Narrow" w:eastAsia="Calibri" w:hAnsi="Arial Narrow" w:cs="Arial"/>
          <w:b/>
          <w:sz w:val="28"/>
          <w:szCs w:val="28"/>
          <w:lang w:val="en-ZA"/>
        </w:rPr>
        <w:t>01 December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94608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2A25">
              <w:rPr>
                <w:rFonts w:ascii="Arial Narrow" w:hAnsi="Arial Narrow"/>
                <w:b/>
                <w:sz w:val="20"/>
                <w:lang w:val="en-GB"/>
              </w:rPr>
              <w:t xml:space="preserve"> - 0069518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4A4583" w:rsidP="00CD18B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01 December</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652A25" w:rsidP="00FC4AE1">
            <w:pPr>
              <w:rPr>
                <w:rFonts w:ascii="Arial Narrow" w:hAnsi="Arial Narrow" w:cs="Arial"/>
                <w:b/>
                <w:color w:val="000000"/>
                <w:sz w:val="20"/>
                <w:szCs w:val="20"/>
              </w:rPr>
            </w:pPr>
            <w:r>
              <w:rPr>
                <w:rFonts w:ascii="Arial Narrow" w:eastAsia="Arial Unicode MS" w:hAnsi="Arial Narrow" w:cs="Arial Unicode MS"/>
                <w:b/>
                <w:sz w:val="20"/>
                <w:szCs w:val="20"/>
              </w:rPr>
              <w:t>1 x Flammable storage cabinet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4608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CD18BF" w:rsidP="00CD18BF">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6085">
              <w:rPr>
                <w:rFonts w:ascii="Arial Narrow" w:hAnsi="Arial Narrow"/>
                <w:sz w:val="20"/>
                <w:lang w:val="en-GB"/>
              </w:rPr>
            </w:r>
            <w:r w:rsidR="009460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52A25">
              <w:rPr>
                <w:rFonts w:ascii="Arial Narrow" w:hAnsi="Arial Narrow"/>
                <w:b/>
                <w:sz w:val="22"/>
                <w:szCs w:val="22"/>
              </w:rPr>
              <w:t>Bid number: RFQ No: - 0069518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A4583">
              <w:rPr>
                <w:rFonts w:ascii="Arial Narrow" w:hAnsi="Arial Narrow"/>
                <w:b/>
                <w:sz w:val="22"/>
                <w:szCs w:val="22"/>
              </w:rPr>
              <w:t>01 December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652A25">
        <w:rPr>
          <w:rFonts w:ascii="Calibri" w:eastAsia="Arial Unicode MS" w:hAnsi="Calibri" w:cs="Arial Unicode MS"/>
          <w:b/>
        </w:rPr>
        <w:t>Flammable storage cabinet</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F016F9" w:rsidRDefault="00F016F9"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F016F9">
        <w:rPr>
          <w:rFonts w:ascii="Arial" w:hAnsi="Arial" w:cs="Arial"/>
          <w:b/>
          <w:color w:val="000080"/>
          <w:sz w:val="22"/>
          <w:szCs w:val="22"/>
          <w:lang w:val="en-GB"/>
        </w:rPr>
        <w:t>5</w:t>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4A4583" w:rsidP="00543ECF">
      <w:pPr>
        <w:rPr>
          <w:noProof/>
        </w:rPr>
      </w:pPr>
      <w:r w:rsidRPr="004A4583">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Pr="004A4583">
        <w:rPr>
          <w:noProof/>
          <w:lang w:val="en-ZA" w:eastAsia="en-ZA"/>
        </w:rPr>
        <w:lastRenderedPageBreak/>
        <w:drawing>
          <wp:inline distT="0" distB="0" distL="0" distR="0">
            <wp:extent cx="6589395" cy="932087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263D58" w:rsidRPr="001A5053" w:rsidRDefault="00A42805" w:rsidP="002B6383">
      <w:pPr>
        <w:spacing w:line="360" w:lineRule="auto"/>
        <w:rPr>
          <w:rFonts w:ascii="Calibri" w:eastAsia="Arial Unicode MS" w:hAnsi="Calibri" w:cs="Arial Unicode MS"/>
          <w:b/>
          <w:sz w:val="28"/>
          <w:szCs w:val="28"/>
        </w:rPr>
      </w:pPr>
      <w:r>
        <w:rPr>
          <w:rFonts w:ascii="Calibri" w:eastAsia="Arial Unicode MS" w:hAnsi="Calibri" w:cs="Arial Unicode MS"/>
          <w:b/>
          <w:sz w:val="28"/>
          <w:szCs w:val="28"/>
        </w:rPr>
        <w:lastRenderedPageBreak/>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85" w:rsidRDefault="00946085">
      <w:r>
        <w:separator/>
      </w:r>
    </w:p>
  </w:endnote>
  <w:endnote w:type="continuationSeparator" w:id="0">
    <w:p w:rsidR="00946085" w:rsidRDefault="0094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8" w:rsidRDefault="0094608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CF6AA8" w:rsidRPr="001732F5" w:rsidRDefault="00CF6A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A4583">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6AA8" w:rsidRDefault="00CF6A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85" w:rsidRDefault="00946085">
      <w:r>
        <w:separator/>
      </w:r>
    </w:p>
  </w:footnote>
  <w:footnote w:type="continuationSeparator" w:id="0">
    <w:p w:rsidR="00946085" w:rsidRDefault="00946085">
      <w:r>
        <w:continuationSeparator/>
      </w:r>
    </w:p>
  </w:footnote>
  <w:footnote w:id="1">
    <w:p w:rsidR="00CF6AA8" w:rsidRDefault="00CF6A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F6AA8" w:rsidRDefault="00CF6AA8" w:rsidP="003B72E5">
      <w:pPr>
        <w:pStyle w:val="FootnoteText"/>
      </w:pPr>
    </w:p>
    <w:p w:rsidR="00CF6AA8" w:rsidRDefault="00CF6AA8" w:rsidP="003B72E5">
      <w:pPr>
        <w:pStyle w:val="FootnoteText"/>
      </w:pPr>
    </w:p>
  </w:footnote>
  <w:footnote w:id="2">
    <w:p w:rsidR="00CF6AA8" w:rsidRDefault="00CF6A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CF6AA8" w:rsidRPr="00B677D5" w:rsidTr="00C31B10">
      <w:trPr>
        <w:trHeight w:val="240"/>
      </w:trPr>
      <w:tc>
        <w:tcPr>
          <w:tcW w:w="4675" w:type="dxa"/>
        </w:tcPr>
        <w:p w:rsidR="00CF6AA8" w:rsidRPr="00B677D5" w:rsidRDefault="00CF6A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CF6AA8" w:rsidRPr="00245D1F" w:rsidRDefault="00CF6AA8" w:rsidP="00C31B10">
          <w:pPr>
            <w:tabs>
              <w:tab w:val="left" w:pos="990"/>
              <w:tab w:val="left" w:pos="1170"/>
            </w:tabs>
            <w:ind w:left="252"/>
            <w:contextualSpacing/>
            <w:rPr>
              <w:rFonts w:ascii="Arial Narrow" w:eastAsia="Arial Unicode MS" w:hAnsi="Arial Narrow" w:cs="Arial Unicode MS"/>
              <w:b/>
              <w:bCs/>
              <w:sz w:val="16"/>
              <w:szCs w:val="16"/>
            </w:rPr>
          </w:pPr>
        </w:p>
        <w:p w:rsidR="00CF6AA8" w:rsidRPr="00B677D5" w:rsidRDefault="00CF6AA8"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w:t>
          </w:r>
          <w:r w:rsidR="00652A25">
            <w:rPr>
              <w:rFonts w:ascii="Arial Narrow" w:hAnsi="Arial Narrow" w:cs="Arial"/>
              <w:b/>
              <w:color w:val="000000"/>
              <w:sz w:val="16"/>
              <w:szCs w:val="16"/>
            </w:rPr>
            <w:t>no. 0069518 – Flammable storage cabinet</w:t>
          </w:r>
        </w:p>
      </w:tc>
    </w:tr>
  </w:tbl>
  <w:p w:rsidR="00CF6AA8" w:rsidRPr="00A90F6B" w:rsidRDefault="0094608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130"/>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4583"/>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2A25"/>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D93"/>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6085"/>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F12"/>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18B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AA8"/>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0FEB"/>
    <w:rsid w:val="00D81E22"/>
    <w:rsid w:val="00D8210A"/>
    <w:rsid w:val="00D82B77"/>
    <w:rsid w:val="00D83361"/>
    <w:rsid w:val="00D86CBB"/>
    <w:rsid w:val="00D872C3"/>
    <w:rsid w:val="00D87B76"/>
    <w:rsid w:val="00D92508"/>
    <w:rsid w:val="00D939C1"/>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1482"/>
    <w:rsid w:val="00E7281C"/>
    <w:rsid w:val="00E75448"/>
    <w:rsid w:val="00E8177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16F9"/>
    <w:rsid w:val="00F0214E"/>
    <w:rsid w:val="00F03E1F"/>
    <w:rsid w:val="00F059BF"/>
    <w:rsid w:val="00F06061"/>
    <w:rsid w:val="00F0677A"/>
    <w:rsid w:val="00F0751E"/>
    <w:rsid w:val="00F07A42"/>
    <w:rsid w:val="00F1179E"/>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4AE1"/>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64F78E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04D5-E95A-4C0E-A57A-243098AB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10179</Words>
  <Characters>58023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2023-11-23T13:19:00Z</dcterms:created>
  <dcterms:modified xsi:type="dcterms:W3CDTF">2023-11-23T13:19:00Z</dcterms:modified>
</cp:coreProperties>
</file>