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7E0E13" w:rsidRDefault="0009793B" w:rsidP="007E0E13">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r w:rsidR="003B0E3F" w:rsidRPr="003B0E3F">
        <w:rPr>
          <w:rFonts w:ascii="Arial Narrow" w:hAnsi="Arial Narrow" w:cs="Arial"/>
          <w:b/>
          <w:color w:val="000000"/>
          <w:sz w:val="28"/>
          <w:szCs w:val="28"/>
        </w:rPr>
        <w:t xml:space="preserve">Please supply and install 2 x </w:t>
      </w:r>
      <w:proofErr w:type="spellStart"/>
      <w:r w:rsidR="003B0E3F" w:rsidRPr="003B0E3F">
        <w:rPr>
          <w:rFonts w:ascii="Arial Narrow" w:hAnsi="Arial Narrow" w:cs="Arial"/>
          <w:b/>
          <w:color w:val="000000"/>
          <w:sz w:val="28"/>
          <w:szCs w:val="28"/>
        </w:rPr>
        <w:t>Hydroboil</w:t>
      </w:r>
      <w:r w:rsidR="003B0E3F">
        <w:rPr>
          <w:rFonts w:ascii="Arial Narrow" w:hAnsi="Arial Narrow" w:cs="Arial"/>
          <w:b/>
          <w:color w:val="000000"/>
          <w:sz w:val="28"/>
          <w:szCs w:val="28"/>
        </w:rPr>
        <w:t>er</w:t>
      </w:r>
      <w:r w:rsidR="003B0E3F" w:rsidRPr="003B0E3F">
        <w:rPr>
          <w:rFonts w:ascii="Arial Narrow" w:hAnsi="Arial Narrow" w:cs="Arial"/>
          <w:b/>
          <w:color w:val="000000"/>
          <w:sz w:val="28"/>
          <w:szCs w:val="28"/>
        </w:rPr>
        <w:t>s</w:t>
      </w:r>
      <w:proofErr w:type="spellEnd"/>
      <w:r w:rsidR="003B0E3F" w:rsidRPr="003B0E3F">
        <w:rPr>
          <w:rFonts w:ascii="Arial Narrow" w:hAnsi="Arial Narrow" w:cs="Arial"/>
          <w:b/>
          <w:color w:val="000000"/>
          <w:sz w:val="28"/>
          <w:szCs w:val="28"/>
        </w:rPr>
        <w:t xml:space="preserve"> at C/O Buckingham &amp; </w:t>
      </w:r>
      <w:proofErr w:type="spellStart"/>
      <w:r w:rsidR="003B0E3F" w:rsidRPr="003B0E3F">
        <w:rPr>
          <w:rFonts w:ascii="Arial Narrow" w:hAnsi="Arial Narrow" w:cs="Arial"/>
          <w:b/>
          <w:color w:val="000000"/>
          <w:sz w:val="28"/>
          <w:szCs w:val="28"/>
        </w:rPr>
        <w:t>Eastbourne</w:t>
      </w:r>
      <w:proofErr w:type="spellEnd"/>
      <w:r w:rsidR="003B0E3F" w:rsidRPr="003B0E3F">
        <w:rPr>
          <w:rFonts w:ascii="Arial Narrow" w:hAnsi="Arial Narrow" w:cs="Arial"/>
          <w:b/>
          <w:color w:val="000000"/>
          <w:sz w:val="28"/>
          <w:szCs w:val="28"/>
        </w:rPr>
        <w:t xml:space="preserve"> Rd, Mount Croix, PE</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3B0E3F">
        <w:rPr>
          <w:rFonts w:ascii="Arial Narrow" w:eastAsia="Calibri" w:hAnsi="Arial Narrow" w:cs="Arial"/>
          <w:b/>
          <w:sz w:val="28"/>
          <w:szCs w:val="28"/>
          <w:lang w:val="en-ZA"/>
        </w:rPr>
        <w:t>1859754</w:t>
      </w:r>
    </w:p>
    <w:p w:rsidR="009C556D" w:rsidRDefault="00177B2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8732F3" w:rsidRPr="00177B2D" w:rsidRDefault="003B0E3F" w:rsidP="008732F3">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Pr>
          <w:rFonts w:ascii="Arial Narrow" w:eastAsia="Calibri" w:hAnsi="Arial Narrow" w:cs="Arial"/>
          <w:b/>
          <w:color w:val="FF0000"/>
          <w:sz w:val="28"/>
          <w:szCs w:val="28"/>
          <w:lang w:val="en-ZA"/>
        </w:rPr>
        <w:t xml:space="preserve"> </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177B2D" w:rsidRDefault="00177B2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314F66">
        <w:rPr>
          <w:rFonts w:ascii="Arial Narrow" w:eastAsia="Calibri" w:hAnsi="Arial Narrow" w:cs="Arial"/>
          <w:b/>
          <w:sz w:val="28"/>
          <w:szCs w:val="28"/>
          <w:lang w:val="en-ZA"/>
        </w:rPr>
        <w:t>11 NOVEMBER</w:t>
      </w:r>
      <w:r w:rsidR="0009793B" w:rsidRPr="0009793B">
        <w:rPr>
          <w:rFonts w:ascii="Arial Narrow" w:eastAsia="Calibri" w:hAnsi="Arial Narrow" w:cs="Arial"/>
          <w:b/>
          <w:sz w:val="28"/>
          <w:szCs w:val="28"/>
          <w:lang w:val="en-ZA"/>
        </w:rPr>
        <w:t xml:space="preserve">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5E574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w:t>
      </w:r>
    </w:p>
    <w:p w:rsidR="005E5743" w:rsidRDefault="00B05D4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B05D43" w:rsidRDefault="00B05D4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B05D43" w:rsidRDefault="00B05D4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09793B" w:rsidRDefault="005E574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3B0E3F">
          <w:rPr>
            <w:noProof/>
            <w:webHidden/>
          </w:rPr>
          <w:t>3</w:t>
        </w:r>
        <w:r>
          <w:rPr>
            <w:noProof/>
            <w:webHidden/>
          </w:rPr>
          <w:fldChar w:fldCharType="end"/>
        </w:r>
      </w:hyperlink>
    </w:p>
    <w:p w:rsidR="009C556D" w:rsidRDefault="00410E4A"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3B0E3F">
          <w:rPr>
            <w:noProof/>
            <w:webHidden/>
          </w:rPr>
          <w:t>6</w:t>
        </w:r>
        <w:r w:rsidR="009C556D">
          <w:rPr>
            <w:noProof/>
            <w:webHidden/>
          </w:rPr>
          <w:fldChar w:fldCharType="end"/>
        </w:r>
      </w:hyperlink>
    </w:p>
    <w:p w:rsidR="009C556D" w:rsidRDefault="00410E4A"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3B0E3F">
          <w:rPr>
            <w:noProof/>
            <w:webHidden/>
          </w:rPr>
          <w:t>7</w:t>
        </w:r>
        <w:r w:rsidR="009C556D">
          <w:rPr>
            <w:noProof/>
            <w:webHidden/>
          </w:rPr>
          <w:fldChar w:fldCharType="end"/>
        </w:r>
      </w:hyperlink>
    </w:p>
    <w:p w:rsidR="009C556D" w:rsidRDefault="00410E4A"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3B0E3F">
          <w:rPr>
            <w:noProof/>
            <w:webHidden/>
          </w:rPr>
          <w:t>11</w:t>
        </w:r>
        <w:r w:rsidR="009C556D">
          <w:rPr>
            <w:noProof/>
            <w:webHidden/>
          </w:rPr>
          <w:fldChar w:fldCharType="end"/>
        </w:r>
      </w:hyperlink>
    </w:p>
    <w:p w:rsidR="009C556D" w:rsidRDefault="00410E4A"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3B0E3F">
          <w:rPr>
            <w:noProof/>
            <w:webHidden/>
          </w:rPr>
          <w:t>14</w:t>
        </w:r>
        <w:r w:rsidR="009C556D">
          <w:rPr>
            <w:noProof/>
            <w:webHidden/>
          </w:rPr>
          <w:fldChar w:fldCharType="end"/>
        </w:r>
      </w:hyperlink>
    </w:p>
    <w:p w:rsidR="009C556D" w:rsidRDefault="00410E4A"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3B0E3F">
          <w:rPr>
            <w:noProof/>
            <w:webHidden/>
          </w:rPr>
          <w:t>19</w:t>
        </w:r>
        <w:r w:rsidR="009C556D">
          <w:rPr>
            <w:noProof/>
            <w:webHidden/>
          </w:rPr>
          <w:fldChar w:fldCharType="end"/>
        </w:r>
      </w:hyperlink>
    </w:p>
    <w:p w:rsidR="009C556D" w:rsidRDefault="00410E4A"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3B0E3F">
          <w:rPr>
            <w:noProof/>
            <w:webHidden/>
          </w:rPr>
          <w:t>24</w:t>
        </w:r>
        <w:r w:rsidR="009C556D">
          <w:rPr>
            <w:noProof/>
            <w:webHidden/>
          </w:rPr>
          <w:fldChar w:fldCharType="end"/>
        </w:r>
      </w:hyperlink>
    </w:p>
    <w:p w:rsidR="009C556D" w:rsidRDefault="00410E4A"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3B0E3F">
          <w:rPr>
            <w:noProof/>
            <w:webHidden/>
          </w:rPr>
          <w:t>24</w:t>
        </w:r>
        <w:r w:rsidR="009C556D">
          <w:rPr>
            <w:noProof/>
            <w:webHidden/>
          </w:rPr>
          <w:fldChar w:fldCharType="end"/>
        </w:r>
      </w:hyperlink>
    </w:p>
    <w:p w:rsidR="009C556D" w:rsidRDefault="00410E4A"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3B0E3F">
          <w:rPr>
            <w:noProof/>
            <w:webHidden/>
          </w:rPr>
          <w:t>25</w:t>
        </w:r>
        <w:r w:rsidR="009C556D">
          <w:rPr>
            <w:noProof/>
            <w:webHidden/>
          </w:rPr>
          <w:fldChar w:fldCharType="end"/>
        </w:r>
      </w:hyperlink>
    </w:p>
    <w:p w:rsidR="009C556D" w:rsidRDefault="00410E4A"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3B0E3F">
          <w:rPr>
            <w:noProof/>
            <w:webHidden/>
          </w:rPr>
          <w:t>26</w:t>
        </w:r>
        <w:r w:rsidR="009C556D">
          <w:rPr>
            <w:noProof/>
            <w:webHidden/>
          </w:rPr>
          <w:fldChar w:fldCharType="end"/>
        </w:r>
      </w:hyperlink>
    </w:p>
    <w:p w:rsidR="009C556D" w:rsidRDefault="00410E4A"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3B0E3F">
          <w:rPr>
            <w:noProof/>
            <w:webHidden/>
          </w:rPr>
          <w:t>26</w:t>
        </w:r>
        <w:r w:rsidR="009C556D">
          <w:rPr>
            <w:noProof/>
            <w:webHidden/>
          </w:rPr>
          <w:fldChar w:fldCharType="end"/>
        </w:r>
      </w:hyperlink>
    </w:p>
    <w:p w:rsidR="009C556D" w:rsidRDefault="00410E4A"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3B0E3F">
          <w:rPr>
            <w:noProof/>
            <w:webHidden/>
          </w:rPr>
          <w:t>30</w:t>
        </w:r>
        <w:r w:rsidR="009C556D">
          <w:rPr>
            <w:noProof/>
            <w:webHidden/>
          </w:rPr>
          <w:fldChar w:fldCharType="end"/>
        </w:r>
      </w:hyperlink>
    </w:p>
    <w:p w:rsidR="009C556D" w:rsidRDefault="00410E4A"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3B0E3F">
          <w:rPr>
            <w:noProof/>
            <w:webHidden/>
          </w:rPr>
          <w:t>31</w:t>
        </w:r>
        <w:r w:rsidR="009C556D">
          <w:rPr>
            <w:noProof/>
            <w:webHidden/>
          </w:rPr>
          <w:fldChar w:fldCharType="end"/>
        </w:r>
      </w:hyperlink>
    </w:p>
    <w:p w:rsidR="009C556D" w:rsidRDefault="00410E4A"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3B0E3F">
          <w:rPr>
            <w:noProof/>
            <w:webHidden/>
          </w:rPr>
          <w:t>32</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30"/>
        <w:gridCol w:w="1095"/>
        <w:gridCol w:w="44"/>
        <w:gridCol w:w="1310"/>
        <w:gridCol w:w="223"/>
        <w:gridCol w:w="314"/>
        <w:gridCol w:w="428"/>
        <w:gridCol w:w="788"/>
        <w:gridCol w:w="1358"/>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3B0E3F"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FD5A75"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3B0E3F">
              <w:rPr>
                <w:rFonts w:ascii="Arial Narrow" w:hAnsi="Arial Narrow"/>
                <w:b/>
                <w:sz w:val="20"/>
                <w:lang w:val="en-GB"/>
              </w:rPr>
              <w:t>1859754</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314F66"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 NOVEMBER</w:t>
            </w:r>
            <w:r w:rsidR="0009793B">
              <w:rPr>
                <w:rFonts w:ascii="Arial Narrow" w:hAnsi="Arial Narrow"/>
                <w:b/>
                <w:sz w:val="20"/>
                <w:lang w:val="en-GB"/>
              </w:rPr>
              <w:t xml:space="preserve"> 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3B0E3F" w:rsidP="009C556D">
            <w:pPr>
              <w:tabs>
                <w:tab w:val="left" w:pos="990"/>
                <w:tab w:val="left" w:pos="1170"/>
              </w:tabs>
              <w:contextualSpacing/>
              <w:rPr>
                <w:rFonts w:ascii="Arial Narrow" w:hAnsi="Arial Narrow" w:cs="Arial"/>
                <w:b/>
                <w:color w:val="000000"/>
                <w:sz w:val="20"/>
                <w:szCs w:val="20"/>
              </w:rPr>
            </w:pPr>
            <w:r w:rsidRPr="003B0E3F">
              <w:rPr>
                <w:rFonts w:ascii="Arial Narrow" w:hAnsi="Arial Narrow" w:cs="Arial"/>
                <w:b/>
                <w:color w:val="000000"/>
                <w:sz w:val="20"/>
                <w:szCs w:val="20"/>
              </w:rPr>
              <w:t xml:space="preserve">Please supply and install 2 x </w:t>
            </w:r>
            <w:proofErr w:type="spellStart"/>
            <w:r w:rsidRPr="003B0E3F">
              <w:rPr>
                <w:rFonts w:ascii="Arial Narrow" w:hAnsi="Arial Narrow" w:cs="Arial"/>
                <w:b/>
                <w:color w:val="000000"/>
                <w:sz w:val="20"/>
                <w:szCs w:val="20"/>
              </w:rPr>
              <w:t>Hydroboils</w:t>
            </w:r>
            <w:proofErr w:type="spellEnd"/>
            <w:r w:rsidRPr="003B0E3F">
              <w:rPr>
                <w:rFonts w:ascii="Arial Narrow" w:hAnsi="Arial Narrow" w:cs="Arial"/>
                <w:b/>
                <w:color w:val="000000"/>
                <w:sz w:val="20"/>
                <w:szCs w:val="20"/>
              </w:rPr>
              <w:t xml:space="preserve"> at C/O Buckingham &amp; </w:t>
            </w:r>
            <w:proofErr w:type="spellStart"/>
            <w:r w:rsidRPr="003B0E3F">
              <w:rPr>
                <w:rFonts w:ascii="Arial Narrow" w:hAnsi="Arial Narrow" w:cs="Arial"/>
                <w:b/>
                <w:color w:val="000000"/>
                <w:sz w:val="20"/>
                <w:szCs w:val="20"/>
              </w:rPr>
              <w:t>Eastbourne</w:t>
            </w:r>
            <w:proofErr w:type="spellEnd"/>
            <w:r w:rsidRPr="003B0E3F">
              <w:rPr>
                <w:rFonts w:ascii="Arial Narrow" w:hAnsi="Arial Narrow" w:cs="Arial"/>
                <w:b/>
                <w:color w:val="000000"/>
                <w:sz w:val="20"/>
                <w:szCs w:val="20"/>
              </w:rPr>
              <w:t xml:space="preserve"> Rd, Mount Croix,, PE</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5E5743"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EE464C">
              <w:rPr>
                <w:rFonts w:ascii="Arial Narrow" w:hAnsi="Arial Narrow"/>
                <w:b/>
                <w:sz w:val="20"/>
                <w:lang w:val="en-GB"/>
              </w:rPr>
              <w:t>NHLS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EE464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BUCKINGHAM ROAD</w:t>
            </w: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EE464C"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E9774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B0E3F"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10E4A">
              <w:rPr>
                <w:rFonts w:ascii="Arial Narrow" w:hAnsi="Arial Narrow"/>
                <w:sz w:val="20"/>
                <w:lang w:val="en-GB"/>
              </w:rPr>
            </w:r>
            <w:r w:rsidR="00410E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10E4A">
              <w:rPr>
                <w:rFonts w:ascii="Arial Narrow" w:hAnsi="Arial Narrow"/>
                <w:sz w:val="20"/>
                <w:lang w:val="en-GB"/>
              </w:rPr>
            </w:r>
            <w:r w:rsidR="00410E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10E4A">
              <w:rPr>
                <w:rFonts w:ascii="Arial Narrow" w:hAnsi="Arial Narrow"/>
                <w:sz w:val="20"/>
                <w:lang w:val="en-GB"/>
              </w:rPr>
            </w:r>
            <w:r w:rsidR="00410E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10E4A">
              <w:rPr>
                <w:rFonts w:ascii="Arial Narrow" w:hAnsi="Arial Narrow"/>
                <w:sz w:val="20"/>
                <w:lang w:val="en-GB"/>
              </w:rPr>
            </w:r>
            <w:r w:rsidR="00410E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10E4A">
              <w:rPr>
                <w:rFonts w:ascii="Arial Narrow" w:hAnsi="Arial Narrow"/>
                <w:sz w:val="20"/>
                <w:lang w:val="en-GB"/>
              </w:rPr>
            </w:r>
            <w:r w:rsidR="00410E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10E4A">
              <w:rPr>
                <w:rFonts w:ascii="Arial Narrow" w:hAnsi="Arial Narrow"/>
                <w:sz w:val="20"/>
                <w:lang w:val="en-GB"/>
              </w:rPr>
            </w:r>
            <w:r w:rsidR="00410E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10E4A">
              <w:rPr>
                <w:rFonts w:ascii="Arial Narrow" w:hAnsi="Arial Narrow"/>
                <w:sz w:val="20"/>
                <w:lang w:val="en-GB"/>
              </w:rPr>
            </w:r>
            <w:r w:rsidR="00410E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10E4A">
              <w:rPr>
                <w:rFonts w:ascii="Arial Narrow" w:hAnsi="Arial Narrow"/>
                <w:sz w:val="20"/>
                <w:lang w:val="en-GB"/>
              </w:rPr>
            </w:r>
            <w:r w:rsidR="00410E4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10E4A">
              <w:rPr>
                <w:rFonts w:ascii="Arial Narrow" w:hAnsi="Arial Narrow"/>
                <w:sz w:val="20"/>
                <w:lang w:val="en-GB"/>
              </w:rPr>
            </w:r>
            <w:r w:rsidR="00410E4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10E4A">
              <w:rPr>
                <w:rFonts w:ascii="Arial Narrow" w:hAnsi="Arial Narrow"/>
                <w:sz w:val="20"/>
                <w:lang w:val="en-GB"/>
              </w:rPr>
            </w:r>
            <w:r w:rsidR="00410E4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10E4A">
              <w:rPr>
                <w:rFonts w:ascii="Arial Narrow" w:hAnsi="Arial Narrow"/>
                <w:sz w:val="20"/>
                <w:lang w:val="en-GB"/>
              </w:rPr>
            </w:r>
            <w:r w:rsidR="00410E4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10E4A">
              <w:rPr>
                <w:rFonts w:ascii="Arial Narrow" w:hAnsi="Arial Narrow"/>
                <w:sz w:val="20"/>
                <w:lang w:val="en-GB"/>
              </w:rPr>
            </w:r>
            <w:r w:rsidR="00410E4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10E4A">
              <w:rPr>
                <w:rFonts w:ascii="Arial Narrow" w:hAnsi="Arial Narrow"/>
                <w:sz w:val="20"/>
                <w:lang w:val="en-GB"/>
              </w:rPr>
            </w:r>
            <w:r w:rsidR="00410E4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10E4A">
              <w:rPr>
                <w:rFonts w:ascii="Arial Narrow" w:hAnsi="Arial Narrow"/>
                <w:sz w:val="20"/>
                <w:lang w:val="en-GB"/>
              </w:rPr>
            </w:r>
            <w:r w:rsidR="00410E4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10E4A">
              <w:rPr>
                <w:rFonts w:ascii="Arial Narrow" w:hAnsi="Arial Narrow"/>
                <w:sz w:val="20"/>
                <w:lang w:val="en-GB"/>
              </w:rPr>
            </w:r>
            <w:r w:rsidR="00410E4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10E4A">
              <w:rPr>
                <w:rFonts w:ascii="Arial Narrow" w:hAnsi="Arial Narrow"/>
                <w:sz w:val="20"/>
                <w:lang w:val="en-GB"/>
              </w:rPr>
            </w:r>
            <w:r w:rsidR="00410E4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10E4A">
              <w:rPr>
                <w:rFonts w:ascii="Arial Narrow" w:hAnsi="Arial Narrow"/>
                <w:sz w:val="20"/>
                <w:lang w:val="en-GB"/>
              </w:rPr>
            </w:r>
            <w:r w:rsidR="00410E4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10E4A">
              <w:rPr>
                <w:rFonts w:ascii="Arial Narrow" w:hAnsi="Arial Narrow"/>
                <w:sz w:val="20"/>
                <w:lang w:val="en-GB"/>
              </w:rPr>
            </w:r>
            <w:r w:rsidR="00410E4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lastRenderedPageBreak/>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FD5A75">
              <w:rPr>
                <w:rFonts w:ascii="Arial Narrow" w:hAnsi="Arial Narrow"/>
                <w:b/>
                <w:sz w:val="22"/>
                <w:szCs w:val="22"/>
              </w:rPr>
              <w:t>Bid number:</w:t>
            </w:r>
            <w:r w:rsidR="003B0E3F">
              <w:rPr>
                <w:rFonts w:ascii="Arial Narrow" w:hAnsi="Arial Narrow"/>
                <w:b/>
                <w:sz w:val="22"/>
                <w:szCs w:val="22"/>
              </w:rPr>
              <w:t xml:space="preserve"> RFQ No:1859754</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314F66">
              <w:rPr>
                <w:rFonts w:ascii="Arial Narrow" w:hAnsi="Arial Narrow"/>
                <w:b/>
                <w:sz w:val="22"/>
                <w:szCs w:val="22"/>
              </w:rPr>
              <w:t>11 November</w:t>
            </w:r>
            <w:r w:rsidR="0009793B" w:rsidRPr="0009793B">
              <w:rPr>
                <w:rFonts w:ascii="Arial Narrow" w:hAnsi="Arial Narrow"/>
                <w:b/>
                <w:sz w:val="22"/>
                <w:szCs w:val="22"/>
              </w:rPr>
              <w:t xml:space="preserve">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lastRenderedPageBreak/>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FD5A75" w:rsidRDefault="00FD5A75" w:rsidP="00DA3254">
      <w:pPr>
        <w:tabs>
          <w:tab w:val="left" w:pos="-963"/>
          <w:tab w:val="left" w:pos="-720"/>
          <w:tab w:val="left" w:pos="900"/>
          <w:tab w:val="left" w:pos="2250"/>
          <w:tab w:val="left" w:pos="7363"/>
        </w:tabs>
        <w:ind w:left="900" w:hanging="900"/>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D6452" w:rsidP="009C556D">
      <w:pPr>
        <w:tabs>
          <w:tab w:val="left" w:pos="1080"/>
          <w:tab w:val="left" w:pos="6480"/>
          <w:tab w:val="left" w:pos="7920"/>
          <w:tab w:val="left" w:pos="9270"/>
        </w:tabs>
        <w:jc w:val="both"/>
        <w:rPr>
          <w:rFonts w:ascii="Arial Narrow" w:hAnsi="Arial Narrow"/>
          <w:color w:val="000000" w:themeColor="text1"/>
          <w:sz w:val="20"/>
          <w:szCs w:val="20"/>
        </w:rPr>
      </w:pPr>
      <w:r w:rsidRPr="009D6452">
        <w:rPr>
          <w:rFonts w:ascii="Arial Narrow" w:hAnsi="Arial Narrow"/>
          <w:noProof/>
          <w:color w:val="000000" w:themeColor="text1"/>
          <w:sz w:val="20"/>
          <w:szCs w:val="20"/>
        </w:rPr>
        <w:drawing>
          <wp:inline distT="0" distB="0" distL="0" distR="0">
            <wp:extent cx="38100" cy="7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7620"/>
                    </a:xfrm>
                    <a:prstGeom prst="rect">
                      <a:avLst/>
                    </a:prstGeom>
                    <a:noFill/>
                    <a:ln>
                      <a:noFill/>
                    </a:ln>
                  </pic:spPr>
                </pic:pic>
              </a:graphicData>
            </a:graphic>
          </wp:inline>
        </w:drawing>
      </w:r>
      <w:r w:rsidRPr="009D6452">
        <w:rPr>
          <w:rFonts w:ascii="Arial Narrow" w:hAnsi="Arial Narrow"/>
          <w:color w:val="000000" w:themeColor="text1"/>
          <w:sz w:val="20"/>
          <w:szCs w:val="20"/>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r>
        <w:rPr>
          <w:rFonts w:ascii="Arial Narrow" w:hAnsi="Arial Narrow"/>
          <w:color w:val="000000" w:themeColor="text1"/>
          <w:sz w:val="20"/>
          <w:szCs w:val="20"/>
        </w:rPr>
        <w:t xml:space="preserve">   </w:t>
      </w:r>
      <w:r w:rsidR="009D6452" w:rsidRPr="009D6452">
        <w:rPr>
          <w:rFonts w:ascii="Arial Narrow" w:hAnsi="Arial Narrow"/>
          <w:noProof/>
          <w:color w:val="000000" w:themeColor="text1"/>
          <w:sz w:val="20"/>
          <w:szCs w:val="20"/>
        </w:rPr>
        <w:drawing>
          <wp:inline distT="0" distB="0" distL="0" distR="0">
            <wp:extent cx="22860" cy="7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 cy="7620"/>
                    </a:xfrm>
                    <a:prstGeom prst="rect">
                      <a:avLst/>
                    </a:prstGeom>
                    <a:noFill/>
                    <a:ln>
                      <a:noFill/>
                    </a:ln>
                  </pic:spPr>
                </pic:pic>
              </a:graphicData>
            </a:graphic>
          </wp:inline>
        </w:drawing>
      </w:r>
      <w:r w:rsidR="009D6452" w:rsidRPr="009D6452">
        <w:rPr>
          <w:rFonts w:ascii="Arial Narrow" w:hAnsi="Arial Narrow"/>
          <w:color w:val="000000" w:themeColor="text1"/>
          <w:sz w:val="20"/>
          <w:szCs w:val="20"/>
        </w:rPr>
        <w:t xml:space="preserve"> </w:t>
      </w: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E9774F" w:rsidRDefault="00E9774F"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EE464C"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r>
    </w:p>
    <w:p w:rsidR="00EE464C" w:rsidRDefault="00EE464C" w:rsidP="009C556D">
      <w:pPr>
        <w:tabs>
          <w:tab w:val="left" w:pos="1080"/>
          <w:tab w:val="left" w:pos="4320"/>
          <w:tab w:val="left" w:pos="7920"/>
          <w:tab w:val="right" w:pos="9752"/>
        </w:tabs>
        <w:ind w:left="540"/>
        <w:jc w:val="both"/>
        <w:rPr>
          <w:rFonts w:ascii="Arial Narrow" w:hAnsi="Arial Narrow" w:cs="Arial"/>
          <w:lang w:val="en-GB"/>
        </w:rPr>
      </w:pP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5"/>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lastRenderedPageBreak/>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lastRenderedPageBreak/>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1" o:title=""/>
          </v:shape>
          <o:OLEObject Type="Embed" ProgID="Equation.3" ShapeID="_x0000_i1025" DrawAspect="Content" ObjectID="_1728897548"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3" o:title=""/>
          </v:shape>
          <o:OLEObject Type="Embed" ProgID="Equation.3" ShapeID="_x0000_i1026" DrawAspect="Content" ObjectID="_1728897549" r:id="rId14"/>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5E5743" w:rsidRDefault="005E5743" w:rsidP="009C556D"/>
                          <w:p w:rsidR="005E5743" w:rsidRDefault="005E5743" w:rsidP="009C556D"/>
                          <w:p w:rsidR="005E5743" w:rsidRPr="00585866" w:rsidRDefault="005E5743"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E5743" w:rsidRPr="00585866" w:rsidRDefault="005E5743" w:rsidP="009C556D">
                            <w:pPr>
                              <w:jc w:val="center"/>
                              <w:rPr>
                                <w:rFonts w:ascii="Arial" w:hAnsi="Arial" w:cs="Arial"/>
                                <w:sz w:val="18"/>
                                <w:szCs w:val="18"/>
                              </w:rPr>
                            </w:pPr>
                            <w:r w:rsidRPr="00585866">
                              <w:rPr>
                                <w:rFonts w:ascii="Arial" w:hAnsi="Arial" w:cs="Arial"/>
                                <w:sz w:val="18"/>
                                <w:szCs w:val="18"/>
                              </w:rPr>
                              <w:t>SIGNATURE(S) OF BIDDERS(S)</w:t>
                            </w:r>
                          </w:p>
                          <w:p w:rsidR="005E5743" w:rsidRPr="00585866" w:rsidRDefault="005E5743" w:rsidP="009C556D">
                            <w:pPr>
                              <w:rPr>
                                <w:rFonts w:ascii="Arial" w:hAnsi="Arial" w:cs="Arial"/>
                                <w:sz w:val="18"/>
                                <w:szCs w:val="18"/>
                              </w:rPr>
                            </w:pPr>
                          </w:p>
                          <w:p w:rsidR="005E5743" w:rsidRPr="00585866" w:rsidRDefault="005E5743"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5E5743" w:rsidRPr="00585866" w:rsidRDefault="005E5743"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5E5743" w:rsidRPr="00585866" w:rsidRDefault="005E5743"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5743" w:rsidRPr="00585866" w:rsidRDefault="005E5743"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5743" w:rsidRDefault="005E5743"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5E5743" w:rsidRDefault="005E5743" w:rsidP="009C556D"/>
                    <w:p w:rsidR="005E5743" w:rsidRDefault="005E5743" w:rsidP="009C556D"/>
                    <w:p w:rsidR="005E5743" w:rsidRPr="00585866" w:rsidRDefault="005E5743"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5E5743" w:rsidRPr="00585866" w:rsidRDefault="005E5743" w:rsidP="009C556D">
                      <w:pPr>
                        <w:jc w:val="center"/>
                        <w:rPr>
                          <w:rFonts w:ascii="Arial" w:hAnsi="Arial" w:cs="Arial"/>
                          <w:sz w:val="18"/>
                          <w:szCs w:val="18"/>
                        </w:rPr>
                      </w:pPr>
                      <w:r w:rsidRPr="00585866">
                        <w:rPr>
                          <w:rFonts w:ascii="Arial" w:hAnsi="Arial" w:cs="Arial"/>
                          <w:sz w:val="18"/>
                          <w:szCs w:val="18"/>
                        </w:rPr>
                        <w:t>SIGNATURE(S) OF BIDDERS(S)</w:t>
                      </w:r>
                    </w:p>
                    <w:p w:rsidR="005E5743" w:rsidRPr="00585866" w:rsidRDefault="005E5743" w:rsidP="009C556D">
                      <w:pPr>
                        <w:rPr>
                          <w:rFonts w:ascii="Arial" w:hAnsi="Arial" w:cs="Arial"/>
                          <w:sz w:val="18"/>
                          <w:szCs w:val="18"/>
                        </w:rPr>
                      </w:pPr>
                    </w:p>
                    <w:p w:rsidR="005E5743" w:rsidRPr="00585866" w:rsidRDefault="005E5743"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5E5743" w:rsidRPr="00585866" w:rsidRDefault="005E5743"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5743" w:rsidRPr="00585866" w:rsidRDefault="005E5743"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5743" w:rsidRPr="00585866" w:rsidRDefault="005E5743"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5E5743" w:rsidRDefault="005E5743"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5E5743" w:rsidRDefault="005E5743" w:rsidP="009C556D"/>
                          <w:p w:rsidR="005E5743" w:rsidRPr="00585866" w:rsidRDefault="005E5743" w:rsidP="009C556D">
                            <w:pPr>
                              <w:rPr>
                                <w:rFonts w:ascii="Arial" w:hAnsi="Arial" w:cs="Arial"/>
                                <w:sz w:val="18"/>
                                <w:szCs w:val="18"/>
                              </w:rPr>
                            </w:pPr>
                            <w:r w:rsidRPr="00585866">
                              <w:rPr>
                                <w:rFonts w:ascii="Arial" w:hAnsi="Arial" w:cs="Arial"/>
                                <w:sz w:val="18"/>
                                <w:szCs w:val="18"/>
                              </w:rPr>
                              <w:t>WITNESSES</w:t>
                            </w:r>
                          </w:p>
                          <w:p w:rsidR="005E5743" w:rsidRPr="00585866" w:rsidRDefault="005E5743" w:rsidP="009C556D">
                            <w:pPr>
                              <w:rPr>
                                <w:rFonts w:ascii="Arial" w:hAnsi="Arial" w:cs="Arial"/>
                                <w:sz w:val="18"/>
                                <w:szCs w:val="18"/>
                              </w:rPr>
                            </w:pPr>
                          </w:p>
                          <w:p w:rsidR="005E5743" w:rsidRPr="00585866" w:rsidRDefault="005E5743"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5E5743" w:rsidRPr="00585866" w:rsidRDefault="005E5743"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5E5743" w:rsidRDefault="005E5743"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5E5743" w:rsidRDefault="005E5743" w:rsidP="009C556D"/>
                    <w:p w:rsidR="005E5743" w:rsidRPr="00585866" w:rsidRDefault="005E5743" w:rsidP="009C556D">
                      <w:pPr>
                        <w:rPr>
                          <w:rFonts w:ascii="Arial" w:hAnsi="Arial" w:cs="Arial"/>
                          <w:sz w:val="18"/>
                          <w:szCs w:val="18"/>
                        </w:rPr>
                      </w:pPr>
                      <w:r w:rsidRPr="00585866">
                        <w:rPr>
                          <w:rFonts w:ascii="Arial" w:hAnsi="Arial" w:cs="Arial"/>
                          <w:sz w:val="18"/>
                          <w:szCs w:val="18"/>
                        </w:rPr>
                        <w:t>WITNESSES</w:t>
                      </w:r>
                    </w:p>
                    <w:p w:rsidR="005E5743" w:rsidRPr="00585866" w:rsidRDefault="005E5743" w:rsidP="009C556D">
                      <w:pPr>
                        <w:rPr>
                          <w:rFonts w:ascii="Arial" w:hAnsi="Arial" w:cs="Arial"/>
                          <w:sz w:val="18"/>
                          <w:szCs w:val="18"/>
                        </w:rPr>
                      </w:pPr>
                    </w:p>
                    <w:p w:rsidR="005E5743" w:rsidRPr="00585866" w:rsidRDefault="005E5743"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5E5743" w:rsidRPr="00585866" w:rsidRDefault="005E5743"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5E5743" w:rsidRDefault="005E5743"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6" w:name="_Toc109116963"/>
      <w:r>
        <w:rPr>
          <w:rFonts w:ascii="Arial" w:hAnsi="Arial" w:cs="Arial"/>
          <w:sz w:val="24"/>
          <w:szCs w:val="24"/>
        </w:rPr>
        <w:t>DECLARATION CERTIFICATE FOR LOCAL PRODUCTION AND CONTENT FOR DESIGNATED SECTORS</w:t>
      </w:r>
      <w:bookmarkEnd w:id="6"/>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lastRenderedPageBreak/>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w:t>
      </w:r>
      <w:proofErr w:type="spellStart"/>
      <w:r>
        <w:rPr>
          <w:rFonts w:ascii="Arial" w:hAnsi="Arial" w:cs="Arial"/>
          <w:b/>
          <w:bCs/>
          <w:sz w:val="22"/>
          <w:szCs w:val="22"/>
        </w:rPr>
        <w:t>ip.jsp</w:t>
      </w:r>
      <w:proofErr w:type="spellEnd"/>
      <w:r>
        <w:rPr>
          <w:rFonts w:ascii="Arial" w:hAnsi="Arial" w:cs="Arial"/>
          <w:b/>
          <w:bCs/>
          <w:sz w:val="22"/>
          <w:szCs w:val="22"/>
        </w:rPr>
        <w:t xml:space="preserve">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6"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lastRenderedPageBreak/>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7"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w:t>
            </w:r>
            <w:r w:rsidRPr="0088626B">
              <w:rPr>
                <w:rFonts w:ascii="Arial" w:hAnsi="Arial" w:cs="Arial"/>
                <w:sz w:val="22"/>
                <w:szCs w:val="22"/>
              </w:rPr>
              <w:lastRenderedPageBreak/>
              <w:t>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proofErr w:type="spellStart"/>
            <w:r w:rsidRPr="009C556D">
              <w:rPr>
                <w:rFonts w:ascii="Arial" w:hAnsi="Arial" w:cs="Arial"/>
                <w:sz w:val="20"/>
                <w:szCs w:val="20"/>
              </w:rPr>
              <w:t>Mr</w:t>
            </w:r>
            <w:proofErr w:type="spellEnd"/>
            <w:r w:rsidRPr="009C556D">
              <w:rPr>
                <w:rFonts w:ascii="Arial" w:hAnsi="Arial" w:cs="Arial"/>
                <w:sz w:val="20"/>
                <w:szCs w:val="20"/>
              </w:rPr>
              <w:t xml:space="preserve">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lastRenderedPageBreak/>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0" w:name="_Toc398631214"/>
      <w:bookmarkStart w:id="11" w:name="_Toc109116967"/>
      <w:r w:rsidRPr="009C556D">
        <w:rPr>
          <w:rFonts w:ascii="Arial" w:hAnsi="Arial" w:cs="Arial"/>
          <w:b/>
          <w:bCs/>
          <w:kern w:val="32"/>
        </w:rPr>
        <w:t>TECHNICAL / FUNCTIONAL EVALUATION CRITERIA</w:t>
      </w:r>
      <w:bookmarkEnd w:id="10"/>
      <w:bookmarkEnd w:id="11"/>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2" w:name="_Toc348900852"/>
      <w:bookmarkStart w:id="13"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4" w:name="_Toc109116968"/>
      <w:r w:rsidRPr="009C556D">
        <w:rPr>
          <w:rFonts w:ascii="Arial" w:hAnsi="Arial" w:cs="Arial"/>
          <w:b/>
          <w:bCs/>
          <w:kern w:val="32"/>
        </w:rPr>
        <w:t>TECHNICAL / FUNCTIONAL EVALUATION CRITERIA:</w:t>
      </w:r>
      <w:bookmarkEnd w:id="14"/>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lastRenderedPageBreak/>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lastRenderedPageBreak/>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lastRenderedPageBreak/>
        <w:t>SCHEDULE OF WORK CARRIED OUT BY THE BIDDER</w:t>
      </w:r>
      <w:bookmarkEnd w:id="12"/>
      <w:bookmarkEnd w:id="13"/>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1"/>
      <w:r w:rsidRPr="009C556D">
        <w:rPr>
          <w:rFonts w:ascii="Arial" w:hAnsi="Arial" w:cs="Arial"/>
          <w:b/>
          <w:bCs/>
          <w:kern w:val="32"/>
        </w:rPr>
        <w:t>GENERAL CONDITIONS OF CONTRACT</w:t>
      </w:r>
      <w:bookmarkEnd w:id="17"/>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 xml:space="preserve">33. National Industrial Participation </w:t>
      </w:r>
      <w:proofErr w:type="spellStart"/>
      <w:r w:rsidRPr="009C556D">
        <w:rPr>
          <w:rFonts w:ascii="Arial" w:hAnsi="Arial" w:cs="Arial"/>
          <w:color w:val="000000"/>
          <w:sz w:val="22"/>
          <w:szCs w:val="22"/>
          <w:lang w:eastAsia="en-ZA"/>
        </w:rPr>
        <w:t>Programme</w:t>
      </w:r>
      <w:proofErr w:type="spellEnd"/>
      <w:r w:rsidRPr="009C556D">
        <w:rPr>
          <w:rFonts w:ascii="Arial" w:hAnsi="Arial" w:cs="Arial"/>
          <w:color w:val="000000"/>
          <w:sz w:val="22"/>
          <w:szCs w:val="22"/>
          <w:lang w:eastAsia="en-ZA"/>
        </w:rPr>
        <w:t xml:space="preserv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“Manufacture” means the production of products in a factory using </w:t>
      </w:r>
      <w:proofErr w:type="spellStart"/>
      <w:r w:rsidRPr="009C556D">
        <w:rPr>
          <w:rFonts w:ascii="Arial" w:hAnsi="Arial" w:cs="Arial"/>
          <w:color w:val="000000"/>
          <w:sz w:val="22"/>
          <w:szCs w:val="22"/>
          <w:lang w:eastAsia="en-ZA"/>
        </w:rPr>
        <w:t>labour</w:t>
      </w:r>
      <w:proofErr w:type="spellEnd"/>
      <w:r w:rsidRPr="009C556D">
        <w:rPr>
          <w:rFonts w:ascii="Arial" w:hAnsi="Arial" w:cs="Arial"/>
          <w:color w:val="000000"/>
          <w:sz w:val="22"/>
          <w:szCs w:val="22"/>
          <w:lang w:eastAsia="en-ZA"/>
        </w:rPr>
        <w:t>,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9"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a cashier’s or certified </w:t>
      </w:r>
      <w:proofErr w:type="spellStart"/>
      <w:r w:rsidRPr="009C556D">
        <w:rPr>
          <w:rFonts w:ascii="Arial" w:hAnsi="Arial" w:cs="Arial"/>
          <w:color w:val="000000"/>
          <w:sz w:val="22"/>
          <w:szCs w:val="22"/>
          <w:lang w:eastAsia="en-ZA"/>
        </w:rPr>
        <w:t>cheque</w:t>
      </w:r>
      <w:proofErr w:type="spellEnd"/>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w:t>
      </w:r>
      <w:r w:rsidRPr="009C556D">
        <w:rPr>
          <w:rFonts w:ascii="Arial" w:hAnsi="Arial" w:cs="Arial"/>
          <w:color w:val="000000"/>
          <w:sz w:val="22"/>
          <w:szCs w:val="22"/>
          <w:lang w:eastAsia="en-ZA"/>
        </w:rPr>
        <w:lastRenderedPageBreak/>
        <w:t>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xml:space="preserve">)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w:t>
      </w:r>
      <w:proofErr w:type="spellStart"/>
      <w:r w:rsidRPr="009C556D">
        <w:rPr>
          <w:rFonts w:ascii="Arial" w:hAnsi="Arial" w:cs="Arial"/>
          <w:color w:val="000000"/>
          <w:sz w:val="22"/>
          <w:szCs w:val="22"/>
          <w:lang w:eastAsia="en-ZA"/>
        </w:rPr>
        <w:t>ofthe</w:t>
      </w:r>
      <w:proofErr w:type="spellEnd"/>
      <w:r w:rsidRPr="009C556D">
        <w:rPr>
          <w:rFonts w:ascii="Arial" w:hAnsi="Arial" w:cs="Arial"/>
          <w:color w:val="000000"/>
          <w:sz w:val="22"/>
          <w:szCs w:val="22"/>
          <w:lang w:eastAsia="en-ZA"/>
        </w:rPr>
        <w:t xml:space="preserv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w:t>
      </w:r>
      <w:r w:rsidRPr="009C556D">
        <w:rPr>
          <w:rFonts w:ascii="Arial" w:hAnsi="Arial" w:cs="Arial"/>
          <w:color w:val="000000"/>
          <w:sz w:val="22"/>
          <w:szCs w:val="22"/>
          <w:lang w:eastAsia="en-ZA"/>
        </w:rPr>
        <w:lastRenderedPageBreak/>
        <w:t>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sidRPr="009C556D">
        <w:rPr>
          <w:rFonts w:ascii="Arial" w:hAnsi="Arial" w:cs="Arial"/>
          <w:color w:val="000000"/>
          <w:sz w:val="22"/>
          <w:szCs w:val="22"/>
          <w:lang w:eastAsia="en-ZA"/>
        </w:rPr>
        <w:t>favourable</w:t>
      </w:r>
      <w:proofErr w:type="spellEnd"/>
      <w:r w:rsidRPr="009C556D">
        <w:rPr>
          <w:rFonts w:ascii="Arial" w:hAnsi="Arial" w:cs="Arial"/>
          <w:color w:val="000000"/>
          <w:sz w:val="22"/>
          <w:szCs w:val="22"/>
          <w:lang w:eastAsia="en-ZA"/>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 xml:space="preserve">the supplier shall not be liable to the purchaser, whether in contract, tort, or otherwise, for any indirect or consequential loss or damage, loss of use, loss of production, or loss of profits or interest costs, provided that this exclusion shall not </w:t>
      </w:r>
      <w:r w:rsidRPr="009C556D">
        <w:rPr>
          <w:rFonts w:ascii="Arial" w:hAnsi="Arial" w:cs="Arial"/>
          <w:color w:val="000000"/>
          <w:sz w:val="22"/>
          <w:szCs w:val="22"/>
          <w:lang w:eastAsia="en-ZA"/>
        </w:rPr>
        <w:lastRenderedPageBreak/>
        <w:t>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33. National Industrial Participation (NIP) </w:t>
      </w:r>
      <w:proofErr w:type="spellStart"/>
      <w:r w:rsidRPr="009C556D">
        <w:rPr>
          <w:rFonts w:ascii="Arial" w:hAnsi="Arial" w:cs="Arial"/>
          <w:b/>
          <w:bCs/>
          <w:color w:val="000000"/>
          <w:sz w:val="20"/>
          <w:szCs w:val="20"/>
          <w:lang w:eastAsia="en-ZA"/>
        </w:rPr>
        <w:t>Programme</w:t>
      </w:r>
      <w:proofErr w:type="spellEnd"/>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3B0E3F" w:rsidP="007D4F16">
      <w:pPr>
        <w:tabs>
          <w:tab w:val="left" w:pos="2505"/>
        </w:tabs>
        <w:rPr>
          <w:noProof/>
        </w:rPr>
      </w:pPr>
      <w:r>
        <w:rPr>
          <w:noProof/>
        </w:rPr>
        <w:t xml:space="preserve"> </w:t>
      </w:r>
    </w:p>
    <w:p w:rsidR="00EE464C" w:rsidRDefault="00EE464C" w:rsidP="007D4F16">
      <w:pPr>
        <w:tabs>
          <w:tab w:val="left" w:pos="2505"/>
        </w:tabs>
        <w:rPr>
          <w:noProof/>
        </w:rPr>
      </w:pPr>
    </w:p>
    <w:p w:rsidR="00EE464C" w:rsidRDefault="00EE464C" w:rsidP="007D4F16">
      <w:pPr>
        <w:tabs>
          <w:tab w:val="left" w:pos="2505"/>
        </w:tabs>
        <w:rPr>
          <w:noProof/>
        </w:rPr>
      </w:pPr>
    </w:p>
    <w:p w:rsidR="00EE464C" w:rsidRDefault="00EE464C" w:rsidP="007D4F16">
      <w:pPr>
        <w:tabs>
          <w:tab w:val="left" w:pos="2505"/>
        </w:tabs>
        <w:rPr>
          <w:noProof/>
        </w:rPr>
      </w:pPr>
    </w:p>
    <w:sectPr w:rsidR="00EE464C">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E4A" w:rsidRDefault="00410E4A" w:rsidP="009C556D">
      <w:r>
        <w:separator/>
      </w:r>
    </w:p>
  </w:endnote>
  <w:endnote w:type="continuationSeparator" w:id="0">
    <w:p w:rsidR="00410E4A" w:rsidRDefault="00410E4A"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E3F" w:rsidRDefault="003B0E3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5E5743" w:rsidRDefault="005E5743">
        <w:pPr>
          <w:pStyle w:val="Footer"/>
          <w:jc w:val="right"/>
        </w:pPr>
        <w:r>
          <w:fldChar w:fldCharType="begin"/>
        </w:r>
        <w:r>
          <w:instrText xml:space="preserve"> PAGE   \* MERGEFORMAT </w:instrText>
        </w:r>
        <w:r>
          <w:fldChar w:fldCharType="separate"/>
        </w:r>
        <w:r w:rsidR="003B0E3F">
          <w:rPr>
            <w:noProof/>
          </w:rPr>
          <w:t>1</w:t>
        </w:r>
        <w:r>
          <w:rPr>
            <w:noProof/>
          </w:rPr>
          <w:fldChar w:fldCharType="end"/>
        </w:r>
      </w:p>
    </w:sdtContent>
  </w:sdt>
  <w:p w:rsidR="005E5743" w:rsidRDefault="005E574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E3F" w:rsidRDefault="003B0E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E4A" w:rsidRDefault="00410E4A" w:rsidP="009C556D">
      <w:r>
        <w:separator/>
      </w:r>
    </w:p>
  </w:footnote>
  <w:footnote w:type="continuationSeparator" w:id="0">
    <w:p w:rsidR="00410E4A" w:rsidRDefault="00410E4A" w:rsidP="009C556D">
      <w:r>
        <w:continuationSeparator/>
      </w:r>
    </w:p>
  </w:footnote>
  <w:footnote w:id="1">
    <w:p w:rsidR="005E5743" w:rsidRDefault="005E5743"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5E5743" w:rsidRDefault="005E5743" w:rsidP="009C556D">
      <w:pPr>
        <w:pStyle w:val="FootnoteText"/>
      </w:pPr>
    </w:p>
    <w:p w:rsidR="005E5743" w:rsidRDefault="005E5743" w:rsidP="009C556D">
      <w:pPr>
        <w:pStyle w:val="FootnoteText"/>
      </w:pPr>
    </w:p>
  </w:footnote>
  <w:footnote w:id="2">
    <w:p w:rsidR="005E5743" w:rsidRDefault="005E5743"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E3F" w:rsidRDefault="003B0E3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743" w:rsidRDefault="005E5743">
    <w:pPr>
      <w:pStyle w:val="Header"/>
    </w:pPr>
    <w:r>
      <w:rPr>
        <w:noProof/>
      </w:rPr>
      <w:drawing>
        <wp:anchor distT="0" distB="0" distL="114300" distR="114300" simplePos="0" relativeHeight="251658240" behindDoc="1" locked="0" layoutInCell="1" allowOverlap="1" wp14:anchorId="0475DB36" wp14:editId="38675E84">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5E5743" w:rsidRDefault="005E5743">
    <w:pPr>
      <w:pStyle w:val="Header"/>
    </w:pPr>
  </w:p>
  <w:p w:rsidR="005E5743" w:rsidRPr="007E0E13" w:rsidRDefault="00B05D43" w:rsidP="007E0E13">
    <w:pPr>
      <w:pStyle w:val="Header"/>
      <w:rPr>
        <w:rFonts w:ascii="Arial" w:hAnsi="Arial" w:cs="Arial"/>
        <w:b/>
        <w:sz w:val="32"/>
        <w:szCs w:val="32"/>
      </w:rPr>
    </w:pPr>
    <w:bookmarkStart w:id="18" w:name="_GoBack"/>
    <w:r>
      <w:rPr>
        <w:rFonts w:ascii="Arial" w:hAnsi="Arial" w:cs="Arial"/>
        <w:b/>
        <w:sz w:val="32"/>
        <w:szCs w:val="32"/>
      </w:rPr>
      <w:t>RF</w:t>
    </w:r>
    <w:r w:rsidR="003B0E3F">
      <w:rPr>
        <w:rFonts w:ascii="Arial" w:hAnsi="Arial" w:cs="Arial"/>
        <w:b/>
        <w:sz w:val="32"/>
        <w:szCs w:val="32"/>
      </w:rPr>
      <w:t xml:space="preserve">Q1859754 – Please supply and install 2 x </w:t>
    </w:r>
    <w:proofErr w:type="spellStart"/>
    <w:r w:rsidR="003B0E3F">
      <w:rPr>
        <w:rFonts w:ascii="Arial" w:hAnsi="Arial" w:cs="Arial"/>
        <w:b/>
        <w:sz w:val="32"/>
        <w:szCs w:val="32"/>
      </w:rPr>
      <w:t>Hydroboilers</w:t>
    </w:r>
    <w:proofErr w:type="spellEnd"/>
    <w:r w:rsidR="003B0E3F">
      <w:rPr>
        <w:rFonts w:ascii="Arial" w:hAnsi="Arial" w:cs="Arial"/>
        <w:b/>
        <w:sz w:val="32"/>
        <w:szCs w:val="32"/>
      </w:rPr>
      <w:t xml:space="preserve"> at </w:t>
    </w:r>
    <w:r w:rsidR="003B0E3F" w:rsidRPr="003B0E3F">
      <w:rPr>
        <w:rFonts w:ascii="Arial" w:hAnsi="Arial" w:cs="Arial"/>
        <w:b/>
        <w:sz w:val="32"/>
        <w:szCs w:val="32"/>
      </w:rPr>
      <w:t>C/O Buckingha</w:t>
    </w:r>
    <w:r w:rsidR="003B0E3F">
      <w:rPr>
        <w:rFonts w:ascii="Arial" w:hAnsi="Arial" w:cs="Arial"/>
        <w:b/>
        <w:sz w:val="32"/>
        <w:szCs w:val="32"/>
      </w:rPr>
      <w:t xml:space="preserve">m &amp; </w:t>
    </w:r>
    <w:proofErr w:type="spellStart"/>
    <w:r w:rsidR="003B0E3F">
      <w:rPr>
        <w:rFonts w:ascii="Arial" w:hAnsi="Arial" w:cs="Arial"/>
        <w:b/>
        <w:sz w:val="32"/>
        <w:szCs w:val="32"/>
      </w:rPr>
      <w:t>Eastbourne</w:t>
    </w:r>
    <w:proofErr w:type="spellEnd"/>
    <w:r w:rsidR="003B0E3F">
      <w:rPr>
        <w:rFonts w:ascii="Arial" w:hAnsi="Arial" w:cs="Arial"/>
        <w:b/>
        <w:sz w:val="32"/>
        <w:szCs w:val="32"/>
      </w:rPr>
      <w:t xml:space="preserve"> Rd,</w:t>
    </w:r>
    <w:r w:rsidR="003B0E3F" w:rsidRPr="003B0E3F">
      <w:rPr>
        <w:rFonts w:ascii="Arial" w:hAnsi="Arial" w:cs="Arial"/>
        <w:b/>
        <w:sz w:val="32"/>
        <w:szCs w:val="32"/>
      </w:rPr>
      <w:t xml:space="preserve"> Mount Croix, PE</w:t>
    </w:r>
    <w:bookmarkEnd w:id="18"/>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E3F" w:rsidRDefault="003B0E3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57F14"/>
    <w:rsid w:val="0009793B"/>
    <w:rsid w:val="00127B64"/>
    <w:rsid w:val="00177B2D"/>
    <w:rsid w:val="001A46DA"/>
    <w:rsid w:val="001C58CF"/>
    <w:rsid w:val="002009A7"/>
    <w:rsid w:val="00302DCA"/>
    <w:rsid w:val="00314F66"/>
    <w:rsid w:val="003B0E3F"/>
    <w:rsid w:val="003C0E20"/>
    <w:rsid w:val="003C4C4D"/>
    <w:rsid w:val="003D0EDE"/>
    <w:rsid w:val="00410E4A"/>
    <w:rsid w:val="004E4E85"/>
    <w:rsid w:val="00577FF3"/>
    <w:rsid w:val="005D0948"/>
    <w:rsid w:val="005E5743"/>
    <w:rsid w:val="005E77ED"/>
    <w:rsid w:val="00615B74"/>
    <w:rsid w:val="00615EFC"/>
    <w:rsid w:val="006708AB"/>
    <w:rsid w:val="00765E4C"/>
    <w:rsid w:val="0077191B"/>
    <w:rsid w:val="00796049"/>
    <w:rsid w:val="007D4F16"/>
    <w:rsid w:val="007E0E13"/>
    <w:rsid w:val="008732F3"/>
    <w:rsid w:val="00891960"/>
    <w:rsid w:val="009C556D"/>
    <w:rsid w:val="009D6452"/>
    <w:rsid w:val="00A277F3"/>
    <w:rsid w:val="00A853DE"/>
    <w:rsid w:val="00AC112A"/>
    <w:rsid w:val="00AE548F"/>
    <w:rsid w:val="00B05D43"/>
    <w:rsid w:val="00B1789F"/>
    <w:rsid w:val="00BA353C"/>
    <w:rsid w:val="00C83221"/>
    <w:rsid w:val="00DA3254"/>
    <w:rsid w:val="00DE3AC1"/>
    <w:rsid w:val="00E060DD"/>
    <w:rsid w:val="00E9774F"/>
    <w:rsid w:val="00EB6901"/>
    <w:rsid w:val="00EE464C"/>
    <w:rsid w:val="00F36567"/>
    <w:rsid w:val="00FD5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28B643F0"/>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image" Target="media/image5.wmf"/><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hyperlink" Target="http://www.thedti.gov.za/industrial_development/ip.jsp"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resbank.co.za"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2.bin"/><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11365</Words>
  <Characters>64784</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2</cp:revision>
  <cp:lastPrinted>2022-11-02T10:30:00Z</cp:lastPrinted>
  <dcterms:created xsi:type="dcterms:W3CDTF">2022-11-02T10:33:00Z</dcterms:created>
  <dcterms:modified xsi:type="dcterms:W3CDTF">2022-11-02T10:33:00Z</dcterms:modified>
</cp:coreProperties>
</file>