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7AE" w:rsidRDefault="009079FD" w:rsidP="009079FD">
      <w:pPr>
        <w:jc w:val="center"/>
      </w:pPr>
      <w:bookmarkStart w:id="0" w:name="_GoBack"/>
      <w:bookmarkEnd w:id="0"/>
      <w:r>
        <w:rPr>
          <w:rFonts w:ascii="Arial" w:hAnsi="Arial" w:cs="Arial"/>
          <w:noProof/>
          <w:lang w:val="en-ZA" w:eastAsia="en-ZA"/>
        </w:rPr>
        <w:drawing>
          <wp:inline distT="0" distB="0" distL="0" distR="0" wp14:anchorId="5CB26502" wp14:editId="42D9EE1F">
            <wp:extent cx="5731510" cy="628849"/>
            <wp:effectExtent l="0" t="0" r="2540" b="0"/>
            <wp:docPr id="1" name="Picture 2" descr="QA bann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A banner header.jpg"/>
                    <pic:cNvPicPr>
                      <a:picLocks noChangeAspect="1" noChangeArrowheads="1"/>
                    </pic:cNvPicPr>
                  </pic:nvPicPr>
                  <pic:blipFill>
                    <a:blip r:embed="rId8" cstate="print"/>
                    <a:srcRect/>
                    <a:stretch>
                      <a:fillRect/>
                    </a:stretch>
                  </pic:blipFill>
                  <pic:spPr bwMode="auto">
                    <a:xfrm>
                      <a:off x="0" y="0"/>
                      <a:ext cx="5731510" cy="628849"/>
                    </a:xfrm>
                    <a:prstGeom prst="rect">
                      <a:avLst/>
                    </a:prstGeom>
                    <a:noFill/>
                    <a:ln w="9525">
                      <a:noFill/>
                      <a:miter lim="800000"/>
                      <a:headEnd/>
                      <a:tailEnd/>
                    </a:ln>
                  </pic:spPr>
                </pic:pic>
              </a:graphicData>
            </a:graphic>
          </wp:inline>
        </w:drawing>
      </w:r>
    </w:p>
    <w:p w:rsidR="009079FD" w:rsidRPr="00916CAA" w:rsidRDefault="009079FD" w:rsidP="009079FD">
      <w:pPr>
        <w:jc w:val="center"/>
        <w:rPr>
          <w:rFonts w:ascii="Arial" w:hAnsi="Arial" w:cs="Arial"/>
          <w:b/>
          <w:sz w:val="36"/>
          <w:szCs w:val="36"/>
        </w:rPr>
      </w:pPr>
      <w:r w:rsidRPr="00916CAA">
        <w:rPr>
          <w:rFonts w:ascii="Arial" w:hAnsi="Arial" w:cs="Arial"/>
          <w:b/>
          <w:sz w:val="36"/>
          <w:szCs w:val="36"/>
        </w:rPr>
        <w:t xml:space="preserve">National Health Laboratory Service </w:t>
      </w:r>
    </w:p>
    <w:p w:rsidR="009079FD" w:rsidRDefault="009079FD" w:rsidP="009079FD">
      <w:pPr>
        <w:jc w:val="center"/>
        <w:rPr>
          <w:rFonts w:ascii="Arial" w:hAnsi="Arial" w:cs="Arial"/>
          <w:b/>
          <w:sz w:val="36"/>
          <w:szCs w:val="36"/>
        </w:rPr>
      </w:pPr>
      <w:r w:rsidRPr="00916CAA">
        <w:rPr>
          <w:rFonts w:ascii="Arial" w:hAnsi="Arial" w:cs="Arial"/>
          <w:b/>
          <w:sz w:val="36"/>
          <w:szCs w:val="36"/>
        </w:rPr>
        <w:t>Proficiency Testing Scheme</w:t>
      </w:r>
      <w:r>
        <w:rPr>
          <w:rFonts w:ascii="Arial" w:hAnsi="Arial" w:cs="Arial"/>
          <w:b/>
          <w:sz w:val="36"/>
          <w:szCs w:val="36"/>
        </w:rPr>
        <w:t>s</w:t>
      </w:r>
    </w:p>
    <w:p w:rsidR="00A7441A" w:rsidRDefault="00A7441A" w:rsidP="009079FD">
      <w:pPr>
        <w:jc w:val="center"/>
        <w:rPr>
          <w:rFonts w:ascii="Arial" w:hAnsi="Arial" w:cs="Arial"/>
          <w:b/>
          <w:sz w:val="36"/>
          <w:szCs w:val="36"/>
        </w:rPr>
      </w:pPr>
    </w:p>
    <w:tbl>
      <w:tblPr>
        <w:tblpPr w:leftFromText="187" w:rightFromText="187" w:vertAnchor="page" w:horzAnchor="margin" w:tblpY="5671"/>
        <w:tblW w:w="5000" w:type="pct"/>
        <w:tblCellMar>
          <w:top w:w="216" w:type="dxa"/>
          <w:left w:w="216" w:type="dxa"/>
          <w:bottom w:w="216" w:type="dxa"/>
          <w:right w:w="216" w:type="dxa"/>
        </w:tblCellMar>
        <w:tblLook w:val="04A0" w:firstRow="1" w:lastRow="0" w:firstColumn="1" w:lastColumn="0" w:noHBand="0" w:noVBand="1"/>
      </w:tblPr>
      <w:tblGrid>
        <w:gridCol w:w="5448"/>
        <w:gridCol w:w="2384"/>
        <w:gridCol w:w="2634"/>
      </w:tblGrid>
      <w:tr w:rsidR="00076A87" w:rsidRPr="00FC29D7" w:rsidTr="00076A87">
        <w:tc>
          <w:tcPr>
            <w:tcW w:w="5448" w:type="dxa"/>
            <w:tcBorders>
              <w:bottom w:val="single" w:sz="18" w:space="0" w:color="808080"/>
              <w:right w:val="single" w:sz="18" w:space="0" w:color="808080"/>
            </w:tcBorders>
            <w:vAlign w:val="center"/>
          </w:tcPr>
          <w:p w:rsidR="00076A87" w:rsidRPr="00FC29D7" w:rsidRDefault="00076A87" w:rsidP="00076A87">
            <w:pPr>
              <w:pStyle w:val="NoSpacing"/>
              <w:rPr>
                <w:rFonts w:ascii="Arial" w:hAnsi="Arial" w:cs="Arial"/>
                <w:sz w:val="96"/>
                <w:szCs w:val="96"/>
              </w:rPr>
            </w:pPr>
            <w:r w:rsidRPr="00FC29D7">
              <w:rPr>
                <w:rFonts w:ascii="Arial" w:hAnsi="Arial" w:cs="Arial"/>
                <w:sz w:val="96"/>
                <w:szCs w:val="96"/>
              </w:rPr>
              <w:t xml:space="preserve">Participants Instructions     </w:t>
            </w:r>
          </w:p>
        </w:tc>
        <w:tc>
          <w:tcPr>
            <w:tcW w:w="5018" w:type="dxa"/>
            <w:gridSpan w:val="2"/>
            <w:tcBorders>
              <w:left w:val="single" w:sz="18" w:space="0" w:color="808080"/>
              <w:bottom w:val="single" w:sz="18" w:space="0" w:color="808080"/>
            </w:tcBorders>
            <w:vAlign w:val="center"/>
          </w:tcPr>
          <w:p w:rsidR="00076A87" w:rsidRPr="00FC29D7" w:rsidRDefault="00076A87" w:rsidP="00FB7E1F">
            <w:pPr>
              <w:pStyle w:val="NoSpacing"/>
              <w:jc w:val="center"/>
              <w:rPr>
                <w:rFonts w:ascii="Arial" w:hAnsi="Arial" w:cs="Arial"/>
                <w:b/>
                <w:color w:val="76923C"/>
                <w:sz w:val="72"/>
                <w:szCs w:val="72"/>
              </w:rPr>
            </w:pPr>
            <w:r w:rsidRPr="00FC29D7">
              <w:rPr>
                <w:rFonts w:ascii="Arial" w:hAnsi="Arial" w:cs="Arial"/>
                <w:b/>
                <w:color w:val="76923C"/>
                <w:sz w:val="72"/>
                <w:szCs w:val="72"/>
              </w:rPr>
              <w:t>20</w:t>
            </w:r>
            <w:r>
              <w:rPr>
                <w:rFonts w:ascii="Arial" w:hAnsi="Arial" w:cs="Arial"/>
                <w:b/>
                <w:color w:val="76923C"/>
                <w:sz w:val="72"/>
                <w:szCs w:val="72"/>
              </w:rPr>
              <w:t>2</w:t>
            </w:r>
            <w:r w:rsidR="00FB7E1F">
              <w:rPr>
                <w:rFonts w:ascii="Arial" w:hAnsi="Arial" w:cs="Arial"/>
                <w:b/>
                <w:color w:val="76923C"/>
                <w:sz w:val="72"/>
                <w:szCs w:val="72"/>
              </w:rPr>
              <w:t>2</w:t>
            </w:r>
            <w:r w:rsidRPr="00FC29D7">
              <w:rPr>
                <w:rFonts w:ascii="Arial" w:hAnsi="Arial" w:cs="Arial"/>
                <w:b/>
                <w:color w:val="76923C"/>
                <w:sz w:val="72"/>
                <w:szCs w:val="72"/>
              </w:rPr>
              <w:t>/20</w:t>
            </w:r>
            <w:r>
              <w:rPr>
                <w:rFonts w:ascii="Arial" w:hAnsi="Arial" w:cs="Arial"/>
                <w:b/>
                <w:color w:val="76923C"/>
                <w:sz w:val="72"/>
                <w:szCs w:val="72"/>
              </w:rPr>
              <w:t>2</w:t>
            </w:r>
            <w:r w:rsidR="00FB7E1F">
              <w:rPr>
                <w:rFonts w:ascii="Arial" w:hAnsi="Arial" w:cs="Arial"/>
                <w:b/>
                <w:color w:val="76923C"/>
                <w:sz w:val="72"/>
                <w:szCs w:val="72"/>
              </w:rPr>
              <w:t>3</w:t>
            </w:r>
          </w:p>
        </w:tc>
      </w:tr>
      <w:tr w:rsidR="00076A87" w:rsidRPr="00FC29D7" w:rsidTr="00076A87">
        <w:tc>
          <w:tcPr>
            <w:tcW w:w="7832" w:type="dxa"/>
            <w:gridSpan w:val="2"/>
            <w:tcBorders>
              <w:top w:val="single" w:sz="18" w:space="0" w:color="808080"/>
            </w:tcBorders>
            <w:vAlign w:val="center"/>
          </w:tcPr>
          <w:p w:rsidR="001F5209" w:rsidRDefault="001F5209" w:rsidP="00076A87">
            <w:pPr>
              <w:pStyle w:val="NoSpacing"/>
              <w:jc w:val="both"/>
              <w:rPr>
                <w:rFonts w:ascii="Arial" w:hAnsi="Arial" w:cs="Arial"/>
                <w:sz w:val="24"/>
                <w:szCs w:val="24"/>
              </w:rPr>
            </w:pPr>
          </w:p>
          <w:p w:rsidR="00076A87" w:rsidRPr="001F5209" w:rsidRDefault="00076A87" w:rsidP="00076A87">
            <w:pPr>
              <w:pStyle w:val="NoSpacing"/>
              <w:jc w:val="both"/>
              <w:rPr>
                <w:rFonts w:ascii="Arial" w:hAnsi="Arial" w:cs="Arial"/>
                <w:sz w:val="24"/>
                <w:szCs w:val="24"/>
              </w:rPr>
            </w:pPr>
            <w:r w:rsidRPr="001F5209">
              <w:rPr>
                <w:rFonts w:ascii="Arial" w:hAnsi="Arial" w:cs="Arial"/>
                <w:sz w:val="24"/>
                <w:szCs w:val="24"/>
              </w:rPr>
              <w:t>This is a detailed documented participants instructions for the following  NHLS Proficiency Testing Scheme:</w:t>
            </w:r>
          </w:p>
          <w:p w:rsidR="00100729" w:rsidRPr="001F5209" w:rsidRDefault="00076A87" w:rsidP="00076A87">
            <w:pPr>
              <w:pStyle w:val="NoSpacing"/>
              <w:jc w:val="both"/>
              <w:rPr>
                <w:rFonts w:ascii="Arial" w:hAnsi="Arial" w:cs="Arial"/>
                <w:sz w:val="24"/>
                <w:szCs w:val="24"/>
              </w:rPr>
            </w:pPr>
            <w:r w:rsidRPr="001F5209">
              <w:rPr>
                <w:rFonts w:ascii="Arial" w:hAnsi="Arial" w:cs="Arial"/>
                <w:sz w:val="24"/>
                <w:szCs w:val="24"/>
              </w:rPr>
              <w:t xml:space="preserve">Automated </w:t>
            </w:r>
            <w:r w:rsidR="00A7441A">
              <w:rPr>
                <w:rFonts w:ascii="Arial" w:hAnsi="Arial" w:cs="Arial"/>
                <w:sz w:val="24"/>
                <w:szCs w:val="24"/>
              </w:rPr>
              <w:t xml:space="preserve">Reticulocyte </w:t>
            </w:r>
          </w:p>
          <w:p w:rsidR="001F5209" w:rsidRPr="001F5209" w:rsidRDefault="001F5209" w:rsidP="00076A87">
            <w:pPr>
              <w:pStyle w:val="NoSpacing"/>
              <w:jc w:val="both"/>
              <w:rPr>
                <w:rFonts w:ascii="Arial" w:hAnsi="Arial" w:cs="Arial"/>
                <w:sz w:val="24"/>
                <w:szCs w:val="24"/>
              </w:rPr>
            </w:pPr>
          </w:p>
          <w:p w:rsidR="00076A87" w:rsidRPr="001F5209" w:rsidRDefault="00076A87" w:rsidP="00076A87">
            <w:pPr>
              <w:pStyle w:val="NoSpacing"/>
              <w:jc w:val="both"/>
              <w:rPr>
                <w:rFonts w:ascii="Arial" w:hAnsi="Arial" w:cs="Arial"/>
                <w:sz w:val="24"/>
                <w:szCs w:val="24"/>
              </w:rPr>
            </w:pPr>
            <w:r w:rsidRPr="001F5209">
              <w:rPr>
                <w:rFonts w:ascii="Arial" w:hAnsi="Arial" w:cs="Arial"/>
                <w:sz w:val="24"/>
                <w:szCs w:val="24"/>
              </w:rPr>
              <w:t>All relevant information regarding these proficiency testing</w:t>
            </w:r>
            <w:r w:rsidR="00A7441A">
              <w:rPr>
                <w:rFonts w:ascii="Arial" w:hAnsi="Arial" w:cs="Arial"/>
                <w:sz w:val="24"/>
                <w:szCs w:val="24"/>
              </w:rPr>
              <w:t xml:space="preserve"> scheme</w:t>
            </w:r>
            <w:r w:rsidRPr="001F5209">
              <w:rPr>
                <w:rFonts w:ascii="Arial" w:hAnsi="Arial" w:cs="Arial"/>
                <w:sz w:val="24"/>
                <w:szCs w:val="24"/>
              </w:rPr>
              <w:t xml:space="preserve"> is contained in the document that must be read prior to processing the pr</w:t>
            </w:r>
            <w:r w:rsidR="00A7441A">
              <w:rPr>
                <w:rFonts w:ascii="Arial" w:hAnsi="Arial" w:cs="Arial"/>
                <w:sz w:val="24"/>
                <w:szCs w:val="24"/>
              </w:rPr>
              <w:t>oficiency testing scheme sample</w:t>
            </w:r>
            <w:r w:rsidRPr="001F5209">
              <w:rPr>
                <w:rFonts w:ascii="Arial" w:hAnsi="Arial" w:cs="Arial"/>
                <w:sz w:val="24"/>
                <w:szCs w:val="24"/>
              </w:rPr>
              <w:t>.</w:t>
            </w:r>
          </w:p>
        </w:tc>
        <w:tc>
          <w:tcPr>
            <w:tcW w:w="2634" w:type="dxa"/>
            <w:tcBorders>
              <w:top w:val="single" w:sz="18" w:space="0" w:color="808080"/>
            </w:tcBorders>
            <w:vAlign w:val="center"/>
          </w:tcPr>
          <w:p w:rsidR="00A7441A" w:rsidRPr="001F5209" w:rsidRDefault="00A7441A" w:rsidP="00A7441A">
            <w:pPr>
              <w:pStyle w:val="NoSpacing"/>
              <w:rPr>
                <w:rFonts w:ascii="Arial" w:hAnsi="Arial" w:cs="Arial"/>
                <w:sz w:val="24"/>
                <w:szCs w:val="24"/>
              </w:rPr>
            </w:pPr>
            <w:r w:rsidRPr="001F5209">
              <w:rPr>
                <w:rFonts w:ascii="Arial" w:hAnsi="Arial" w:cs="Arial"/>
                <w:sz w:val="24"/>
                <w:szCs w:val="24"/>
              </w:rPr>
              <w:t xml:space="preserve">Automated </w:t>
            </w:r>
            <w:r>
              <w:rPr>
                <w:rFonts w:ascii="Arial" w:hAnsi="Arial" w:cs="Arial"/>
                <w:sz w:val="24"/>
                <w:szCs w:val="24"/>
              </w:rPr>
              <w:t>Reticulocyte Count Pilot Study</w:t>
            </w:r>
            <w:r w:rsidRPr="001F5209">
              <w:rPr>
                <w:rFonts w:ascii="Arial" w:eastAsia="Calibri" w:hAnsi="Arial" w:cs="Arial"/>
                <w:sz w:val="24"/>
                <w:szCs w:val="24"/>
              </w:rPr>
              <w:t xml:space="preserve"> </w:t>
            </w:r>
          </w:p>
          <w:p w:rsidR="00076A87" w:rsidRPr="001F5209" w:rsidRDefault="00076A87" w:rsidP="00076A87">
            <w:pPr>
              <w:pStyle w:val="NoSpacing"/>
              <w:rPr>
                <w:rFonts w:ascii="Arial" w:hAnsi="Arial" w:cs="Arial"/>
                <w:sz w:val="24"/>
                <w:szCs w:val="24"/>
              </w:rPr>
            </w:pPr>
          </w:p>
        </w:tc>
      </w:tr>
    </w:tbl>
    <w:p w:rsidR="009079FD" w:rsidRDefault="009079FD" w:rsidP="009079FD">
      <w:pPr>
        <w:jc w:val="center"/>
        <w:rPr>
          <w:rFonts w:ascii="Arial" w:hAnsi="Arial" w:cs="Arial"/>
          <w:b/>
          <w:sz w:val="36"/>
          <w:szCs w:val="36"/>
        </w:rPr>
      </w:pPr>
    </w:p>
    <w:p w:rsidR="00076A87" w:rsidRDefault="00076A87" w:rsidP="009079FD">
      <w:pPr>
        <w:jc w:val="center"/>
        <w:rPr>
          <w:rFonts w:ascii="Arial" w:hAnsi="Arial" w:cs="Arial"/>
          <w:b/>
          <w:sz w:val="36"/>
          <w:szCs w:val="36"/>
        </w:rPr>
      </w:pPr>
    </w:p>
    <w:p w:rsidR="001F5209" w:rsidRDefault="001F5209" w:rsidP="009079FD">
      <w:pPr>
        <w:jc w:val="center"/>
        <w:rPr>
          <w:rFonts w:ascii="Arial" w:hAnsi="Arial" w:cs="Arial"/>
          <w:b/>
          <w:sz w:val="36"/>
          <w:szCs w:val="36"/>
        </w:rPr>
      </w:pPr>
    </w:p>
    <w:p w:rsidR="001F5209" w:rsidRDefault="001F5209" w:rsidP="009079FD">
      <w:pPr>
        <w:jc w:val="center"/>
        <w:rPr>
          <w:rFonts w:ascii="Arial" w:hAnsi="Arial" w:cs="Arial"/>
          <w:b/>
          <w:sz w:val="36"/>
          <w:szCs w:val="36"/>
        </w:rPr>
      </w:pPr>
    </w:p>
    <w:p w:rsidR="001F5209" w:rsidRDefault="001F5209" w:rsidP="009079FD">
      <w:pPr>
        <w:jc w:val="center"/>
        <w:rPr>
          <w:rFonts w:ascii="Arial" w:hAnsi="Arial" w:cs="Arial"/>
          <w:b/>
          <w:sz w:val="36"/>
          <w:szCs w:val="36"/>
        </w:rPr>
      </w:pPr>
    </w:p>
    <w:p w:rsidR="001F5209" w:rsidRDefault="001F5209" w:rsidP="009079FD">
      <w:pPr>
        <w:jc w:val="center"/>
        <w:rPr>
          <w:rFonts w:ascii="Arial" w:hAnsi="Arial" w:cs="Arial"/>
          <w:b/>
          <w:sz w:val="36"/>
          <w:szCs w:val="36"/>
        </w:rPr>
      </w:pPr>
    </w:p>
    <w:p w:rsidR="00076A87" w:rsidRDefault="00076A87" w:rsidP="009079FD">
      <w:pPr>
        <w:jc w:val="center"/>
        <w:rPr>
          <w:rFonts w:ascii="Arial" w:hAnsi="Arial" w:cs="Arial"/>
          <w:b/>
          <w:sz w:val="36"/>
          <w:szCs w:val="36"/>
        </w:rPr>
      </w:pPr>
    </w:p>
    <w:p w:rsidR="00076A87" w:rsidRDefault="00076A87" w:rsidP="009079FD">
      <w:pPr>
        <w:jc w:val="center"/>
        <w:rPr>
          <w:rFonts w:ascii="Arial" w:hAnsi="Arial" w:cs="Arial"/>
          <w:b/>
          <w:sz w:val="36"/>
          <w:szCs w:val="36"/>
        </w:rPr>
      </w:pPr>
    </w:p>
    <w:p w:rsidR="00076A87" w:rsidRDefault="00076A87" w:rsidP="009079FD">
      <w:pPr>
        <w:jc w:val="center"/>
        <w:rPr>
          <w:rFonts w:ascii="Arial" w:hAnsi="Arial" w:cs="Arial"/>
          <w:b/>
          <w:sz w:val="36"/>
          <w:szCs w:val="36"/>
        </w:rPr>
      </w:pPr>
    </w:p>
    <w:p w:rsidR="00076A87" w:rsidRDefault="00076A87" w:rsidP="009079FD">
      <w:pPr>
        <w:jc w:val="center"/>
        <w:rPr>
          <w:rFonts w:ascii="Arial" w:hAnsi="Arial" w:cs="Arial"/>
          <w:b/>
          <w:sz w:val="36"/>
          <w:szCs w:val="36"/>
        </w:rPr>
      </w:pPr>
    </w:p>
    <w:p w:rsidR="00C645A5" w:rsidRDefault="00C645A5" w:rsidP="009079FD">
      <w:pPr>
        <w:jc w:val="center"/>
        <w:rPr>
          <w:rFonts w:ascii="Arial" w:hAnsi="Arial" w:cs="Arial"/>
          <w:b/>
          <w:sz w:val="36"/>
          <w:szCs w:val="36"/>
        </w:rPr>
      </w:pPr>
    </w:p>
    <w:p w:rsidR="00A7441A" w:rsidRDefault="00A7441A" w:rsidP="00A7441A">
      <w:pPr>
        <w:spacing w:line="240" w:lineRule="auto"/>
        <w:contextualSpacing/>
        <w:rPr>
          <w:rFonts w:ascii="Arial" w:hAnsi="Arial" w:cs="Arial"/>
          <w:b/>
          <w:sz w:val="20"/>
          <w:szCs w:val="20"/>
        </w:rPr>
      </w:pPr>
    </w:p>
    <w:p w:rsidR="00A7441A" w:rsidRPr="00A7441A" w:rsidRDefault="00A7441A" w:rsidP="00A7441A">
      <w:pPr>
        <w:spacing w:after="0" w:line="240" w:lineRule="auto"/>
        <w:ind w:left="360"/>
        <w:rPr>
          <w:rFonts w:ascii="Arial" w:eastAsia="Calibri" w:hAnsi="Arial" w:cs="Arial"/>
          <w:b/>
          <w:sz w:val="20"/>
          <w:szCs w:val="20"/>
        </w:rPr>
      </w:pPr>
      <w:r w:rsidRPr="0083769F">
        <w:rPr>
          <w:rFonts w:ascii="Arial" w:hAnsi="Arial" w:cs="Arial"/>
          <w:b/>
          <w:sz w:val="20"/>
          <w:szCs w:val="20"/>
        </w:rPr>
        <w:lastRenderedPageBreak/>
        <w:t xml:space="preserve">NHLS </w:t>
      </w:r>
      <w:r w:rsidRPr="0083769F">
        <w:rPr>
          <w:rFonts w:ascii="Arial" w:eastAsia="Calibri" w:hAnsi="Arial" w:cs="Arial"/>
          <w:b/>
          <w:sz w:val="20"/>
          <w:szCs w:val="20"/>
        </w:rPr>
        <w:t>Automated Reticulocyte Count</w:t>
      </w:r>
      <w:r>
        <w:rPr>
          <w:rFonts w:ascii="Arial" w:eastAsia="Calibri" w:hAnsi="Arial" w:cs="Arial"/>
          <w:b/>
          <w:sz w:val="20"/>
          <w:szCs w:val="20"/>
        </w:rPr>
        <w:t xml:space="preserve"> Proficiency Testing Scheme </w:t>
      </w:r>
    </w:p>
    <w:p w:rsidR="00A7441A" w:rsidRPr="0083769F" w:rsidRDefault="00A7441A" w:rsidP="00F670E8">
      <w:pPr>
        <w:spacing w:after="0" w:line="360" w:lineRule="auto"/>
        <w:ind w:left="360"/>
        <w:jc w:val="center"/>
        <w:rPr>
          <w:rFonts w:ascii="Arial" w:hAnsi="Arial" w:cs="Arial"/>
          <w:b/>
          <w:sz w:val="20"/>
          <w:szCs w:val="20"/>
        </w:rPr>
      </w:pPr>
    </w:p>
    <w:p w:rsidR="00A7441A" w:rsidRPr="0083769F" w:rsidRDefault="00A7441A" w:rsidP="00F670E8">
      <w:pPr>
        <w:pStyle w:val="ListParagraph"/>
        <w:numPr>
          <w:ilvl w:val="0"/>
          <w:numId w:val="41"/>
        </w:numPr>
        <w:spacing w:line="360" w:lineRule="auto"/>
        <w:jc w:val="both"/>
        <w:rPr>
          <w:rFonts w:ascii="Arial" w:hAnsi="Arial" w:cs="Arial"/>
          <w:b/>
          <w:sz w:val="20"/>
          <w:szCs w:val="20"/>
        </w:rPr>
      </w:pPr>
      <w:r w:rsidRPr="0083769F">
        <w:rPr>
          <w:rFonts w:ascii="Arial" w:hAnsi="Arial" w:cs="Arial"/>
          <w:b/>
          <w:sz w:val="20"/>
          <w:szCs w:val="20"/>
        </w:rPr>
        <w:t>General information</w:t>
      </w:r>
    </w:p>
    <w:p w:rsidR="00A7441A" w:rsidRPr="0083769F" w:rsidRDefault="00A7441A" w:rsidP="00F670E8">
      <w:pPr>
        <w:spacing w:line="360" w:lineRule="auto"/>
        <w:contextualSpacing/>
        <w:jc w:val="both"/>
        <w:rPr>
          <w:rFonts w:ascii="Arial" w:hAnsi="Arial" w:cs="Arial"/>
          <w:sz w:val="20"/>
          <w:szCs w:val="20"/>
        </w:rPr>
      </w:pPr>
      <w:r w:rsidRPr="0083769F">
        <w:rPr>
          <w:rFonts w:ascii="Arial" w:hAnsi="Arial" w:cs="Arial"/>
          <w:sz w:val="20"/>
          <w:szCs w:val="20"/>
        </w:rPr>
        <w:t xml:space="preserve">The NHLS Proficiency Testing Schemes are continually striving to provide participants with a comprehensive range of quality assessment schemes and to offer participants the opportunity to provide feedback on ways we can improve our content and service. We certainly appreciate that your time is valuable but your input does contribute to the ongoing development of all schemes. </w:t>
      </w:r>
    </w:p>
    <w:p w:rsidR="00A7441A" w:rsidRPr="0083769F" w:rsidRDefault="00A7441A" w:rsidP="00F670E8">
      <w:pPr>
        <w:spacing w:line="360" w:lineRule="auto"/>
        <w:rPr>
          <w:rFonts w:ascii="Arial" w:hAnsi="Arial" w:cs="Arial"/>
          <w:sz w:val="20"/>
          <w:szCs w:val="20"/>
        </w:rPr>
      </w:pPr>
    </w:p>
    <w:p w:rsidR="00A7441A" w:rsidRPr="0083769F" w:rsidRDefault="00A7441A" w:rsidP="00F670E8">
      <w:pPr>
        <w:spacing w:line="360" w:lineRule="auto"/>
        <w:rPr>
          <w:rFonts w:ascii="Arial" w:hAnsi="Arial" w:cs="Arial"/>
          <w:sz w:val="20"/>
          <w:szCs w:val="20"/>
        </w:rPr>
      </w:pPr>
      <w:r w:rsidRPr="0083769F">
        <w:rPr>
          <w:rFonts w:ascii="Arial" w:hAnsi="Arial" w:cs="Arial"/>
          <w:sz w:val="20"/>
          <w:szCs w:val="20"/>
        </w:rPr>
        <w:t xml:space="preserve">This is a detailed documented participant instruction for NHLS </w:t>
      </w:r>
      <w:r w:rsidRPr="0083769F">
        <w:rPr>
          <w:rFonts w:ascii="Arial" w:eastAsia="Calibri" w:hAnsi="Arial" w:cs="Arial"/>
          <w:sz w:val="20"/>
          <w:szCs w:val="20"/>
        </w:rPr>
        <w:t>Automated Reticulocyte Count</w:t>
      </w:r>
      <w:r w:rsidRPr="0083769F">
        <w:rPr>
          <w:rFonts w:ascii="Arial" w:eastAsia="Calibri" w:hAnsi="Arial" w:cs="Arial"/>
          <w:b/>
          <w:sz w:val="20"/>
          <w:szCs w:val="20"/>
        </w:rPr>
        <w:t xml:space="preserve"> </w:t>
      </w:r>
      <w:r w:rsidRPr="0083769F">
        <w:rPr>
          <w:rFonts w:ascii="Arial" w:hAnsi="Arial" w:cs="Arial"/>
          <w:sz w:val="20"/>
          <w:szCs w:val="20"/>
        </w:rPr>
        <w:t>Proficiency Testing Scheme participants. All relevant information regarding this proficiency testing scheme is contained in this document which must be read prior to processing the proficiency testing scheme sample.</w:t>
      </w:r>
    </w:p>
    <w:p w:rsidR="00A7441A" w:rsidRPr="0083769F" w:rsidRDefault="00A7441A" w:rsidP="00F670E8">
      <w:pPr>
        <w:spacing w:line="360" w:lineRule="auto"/>
        <w:contextualSpacing/>
        <w:rPr>
          <w:rFonts w:ascii="Arial" w:hAnsi="Arial" w:cs="Arial"/>
          <w:sz w:val="20"/>
          <w:szCs w:val="20"/>
        </w:rPr>
      </w:pPr>
      <w:r w:rsidRPr="0083769F">
        <w:rPr>
          <w:rFonts w:ascii="Arial" w:hAnsi="Arial" w:cs="Arial"/>
          <w:sz w:val="20"/>
          <w:szCs w:val="20"/>
        </w:rPr>
        <w:t>Please read the information provided. The pilot study package should include the following items:</w:t>
      </w:r>
    </w:p>
    <w:p w:rsidR="00A7441A" w:rsidRPr="0083769F" w:rsidRDefault="00A7441A" w:rsidP="00F670E8">
      <w:pPr>
        <w:pStyle w:val="ListParagraph"/>
        <w:numPr>
          <w:ilvl w:val="0"/>
          <w:numId w:val="13"/>
        </w:numPr>
        <w:spacing w:line="360" w:lineRule="auto"/>
        <w:rPr>
          <w:rFonts w:ascii="Arial" w:hAnsi="Arial" w:cs="Arial"/>
          <w:sz w:val="20"/>
          <w:szCs w:val="20"/>
        </w:rPr>
      </w:pPr>
      <w:r w:rsidRPr="0083769F">
        <w:rPr>
          <w:rFonts w:ascii="Arial" w:hAnsi="Arial" w:cs="Arial"/>
          <w:sz w:val="20"/>
          <w:szCs w:val="20"/>
        </w:rPr>
        <w:t>One proficiency testing sample. (This material is transported at ambient (18°C-25°C) temperature and on arrival in your laboratory the material must be stored at 2°C-8°C until analysed. The whole blood material is ready for use once brought to ambient temperature). Process the stabilised human blood product as a quality control sample.</w:t>
      </w:r>
    </w:p>
    <w:p w:rsidR="00A7441A" w:rsidRPr="0083769F" w:rsidRDefault="00A7441A" w:rsidP="00F670E8">
      <w:pPr>
        <w:pStyle w:val="ListParagraph"/>
        <w:numPr>
          <w:ilvl w:val="0"/>
          <w:numId w:val="13"/>
        </w:numPr>
        <w:spacing w:line="360" w:lineRule="auto"/>
        <w:rPr>
          <w:rFonts w:ascii="Arial" w:hAnsi="Arial" w:cs="Arial"/>
          <w:sz w:val="20"/>
          <w:szCs w:val="20"/>
        </w:rPr>
      </w:pPr>
      <w:r w:rsidRPr="0083769F">
        <w:rPr>
          <w:rFonts w:ascii="Arial" w:hAnsi="Arial" w:cs="Arial"/>
          <w:sz w:val="20"/>
          <w:szCs w:val="20"/>
        </w:rPr>
        <w:t>Envelope containing participant’s instructions and result form.</w:t>
      </w:r>
    </w:p>
    <w:p w:rsidR="00A7441A" w:rsidRPr="0083769F" w:rsidRDefault="00A7441A" w:rsidP="00F670E8">
      <w:pPr>
        <w:pStyle w:val="ListParagraph"/>
        <w:spacing w:line="360" w:lineRule="auto"/>
        <w:rPr>
          <w:rFonts w:ascii="Arial" w:hAnsi="Arial" w:cs="Arial"/>
          <w:sz w:val="20"/>
          <w:szCs w:val="20"/>
        </w:rPr>
      </w:pPr>
    </w:p>
    <w:p w:rsidR="00A7441A" w:rsidRPr="0083769F" w:rsidRDefault="00A7441A" w:rsidP="00F670E8">
      <w:pPr>
        <w:spacing w:line="360" w:lineRule="auto"/>
        <w:contextualSpacing/>
        <w:rPr>
          <w:rFonts w:ascii="Arial" w:hAnsi="Arial" w:cs="Arial"/>
          <w:b/>
          <w:color w:val="FF0000"/>
          <w:sz w:val="20"/>
          <w:szCs w:val="20"/>
        </w:rPr>
      </w:pPr>
      <w:r w:rsidRPr="0083769F">
        <w:rPr>
          <w:rFonts w:ascii="Arial" w:hAnsi="Arial" w:cs="Arial"/>
          <w:b/>
          <w:color w:val="FF0000"/>
          <w:sz w:val="20"/>
          <w:szCs w:val="20"/>
        </w:rPr>
        <w:t>IMPORTANT</w:t>
      </w:r>
    </w:p>
    <w:p w:rsidR="00A7441A" w:rsidRPr="0083769F" w:rsidRDefault="00A7441A" w:rsidP="00F670E8">
      <w:pPr>
        <w:spacing w:line="360" w:lineRule="auto"/>
        <w:contextualSpacing/>
        <w:rPr>
          <w:rFonts w:ascii="Arial" w:hAnsi="Arial" w:cs="Arial"/>
          <w:b/>
          <w:sz w:val="20"/>
          <w:szCs w:val="20"/>
        </w:rPr>
      </w:pPr>
      <w:r w:rsidRPr="0083769F">
        <w:rPr>
          <w:rFonts w:ascii="Arial" w:hAnsi="Arial" w:cs="Arial"/>
          <w:b/>
          <w:sz w:val="20"/>
          <w:szCs w:val="20"/>
        </w:rPr>
        <w:t>Make sure you have the correct sample PRODUCT CODE for the type of haematology analyser used in your laboratory.</w:t>
      </w:r>
    </w:p>
    <w:p w:rsidR="00A7441A" w:rsidRPr="0083769F" w:rsidRDefault="00A7441A" w:rsidP="00A7441A">
      <w:pPr>
        <w:spacing w:line="240" w:lineRule="auto"/>
        <w:contextualSpacing/>
        <w:rPr>
          <w:rFonts w:ascii="Arial" w:hAnsi="Arial" w:cs="Arial"/>
          <w:b/>
          <w:sz w:val="20"/>
          <w:szCs w:val="20"/>
        </w:rPr>
      </w:pPr>
    </w:p>
    <w:tbl>
      <w:tblPr>
        <w:tblW w:w="5850" w:type="dxa"/>
        <w:tblInd w:w="-5" w:type="dxa"/>
        <w:tblLook w:val="04A0" w:firstRow="1" w:lastRow="0" w:firstColumn="1" w:lastColumn="0" w:noHBand="0" w:noVBand="1"/>
      </w:tblPr>
      <w:tblGrid>
        <w:gridCol w:w="2970"/>
        <w:gridCol w:w="2880"/>
      </w:tblGrid>
      <w:tr w:rsidR="00A7441A" w:rsidRPr="0083769F" w:rsidTr="006559BA">
        <w:trPr>
          <w:trHeight w:val="30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41A" w:rsidRPr="0083769F" w:rsidRDefault="00A7441A" w:rsidP="006559BA">
            <w:pPr>
              <w:spacing w:after="0" w:line="240" w:lineRule="auto"/>
              <w:rPr>
                <w:rFonts w:ascii="Arial" w:eastAsia="Times New Roman" w:hAnsi="Arial" w:cs="Arial"/>
                <w:b/>
                <w:bCs/>
                <w:color w:val="000000"/>
                <w:sz w:val="20"/>
                <w:szCs w:val="20"/>
                <w:lang w:eastAsia="en-GB"/>
              </w:rPr>
            </w:pPr>
            <w:r w:rsidRPr="0083769F">
              <w:rPr>
                <w:rFonts w:ascii="Arial" w:eastAsia="Times New Roman" w:hAnsi="Arial" w:cs="Arial"/>
                <w:b/>
                <w:bCs/>
                <w:color w:val="000000"/>
                <w:sz w:val="20"/>
                <w:szCs w:val="20"/>
                <w:lang w:eastAsia="en-GB"/>
              </w:rPr>
              <w:t>Instrument group</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rsidR="00A7441A" w:rsidRPr="0083769F" w:rsidRDefault="00A7441A" w:rsidP="006559BA">
            <w:pPr>
              <w:spacing w:after="0" w:line="240" w:lineRule="auto"/>
              <w:rPr>
                <w:rFonts w:ascii="Arial" w:eastAsia="Times New Roman" w:hAnsi="Arial" w:cs="Arial"/>
                <w:b/>
                <w:bCs/>
                <w:color w:val="000000"/>
                <w:sz w:val="20"/>
                <w:szCs w:val="20"/>
                <w:lang w:eastAsia="en-GB"/>
              </w:rPr>
            </w:pPr>
            <w:r w:rsidRPr="0083769F">
              <w:rPr>
                <w:rFonts w:ascii="Arial" w:eastAsia="Times New Roman" w:hAnsi="Arial" w:cs="Arial"/>
                <w:b/>
                <w:bCs/>
                <w:color w:val="000000"/>
                <w:sz w:val="20"/>
                <w:szCs w:val="20"/>
                <w:lang w:eastAsia="en-GB"/>
              </w:rPr>
              <w:t>Product code</w:t>
            </w:r>
          </w:p>
        </w:tc>
      </w:tr>
      <w:tr w:rsidR="00A7441A" w:rsidRPr="0083769F" w:rsidTr="006559BA">
        <w:trPr>
          <w:trHeight w:val="30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rsidR="00A7441A" w:rsidRPr="0083769F" w:rsidRDefault="00A7441A" w:rsidP="006559BA">
            <w:pPr>
              <w:spacing w:after="0" w:line="240" w:lineRule="auto"/>
              <w:rPr>
                <w:rFonts w:ascii="Arial" w:eastAsia="Times New Roman" w:hAnsi="Arial" w:cs="Arial"/>
                <w:color w:val="000000"/>
                <w:sz w:val="20"/>
                <w:szCs w:val="20"/>
                <w:lang w:eastAsia="en-GB"/>
              </w:rPr>
            </w:pPr>
            <w:r w:rsidRPr="0083769F">
              <w:rPr>
                <w:rFonts w:ascii="Arial" w:eastAsia="Times New Roman" w:hAnsi="Arial" w:cs="Arial"/>
                <w:color w:val="000000"/>
                <w:sz w:val="20"/>
                <w:szCs w:val="20"/>
                <w:lang w:eastAsia="en-GB"/>
              </w:rPr>
              <w:t>Sysmex</w:t>
            </w:r>
          </w:p>
        </w:tc>
        <w:tc>
          <w:tcPr>
            <w:tcW w:w="2880" w:type="dxa"/>
            <w:tcBorders>
              <w:top w:val="nil"/>
              <w:left w:val="nil"/>
              <w:bottom w:val="single" w:sz="4" w:space="0" w:color="auto"/>
              <w:right w:val="single" w:sz="4" w:space="0" w:color="auto"/>
            </w:tcBorders>
            <w:shd w:val="clear" w:color="auto" w:fill="auto"/>
            <w:noWrap/>
            <w:vAlign w:val="bottom"/>
            <w:hideMark/>
          </w:tcPr>
          <w:p w:rsidR="00A7441A" w:rsidRPr="0083769F" w:rsidRDefault="00A7441A" w:rsidP="006559BA">
            <w:pPr>
              <w:spacing w:after="0" w:line="240" w:lineRule="auto"/>
              <w:rPr>
                <w:rFonts w:ascii="Arial" w:eastAsia="Times New Roman" w:hAnsi="Arial" w:cs="Arial"/>
                <w:color w:val="000000"/>
                <w:sz w:val="20"/>
                <w:szCs w:val="20"/>
                <w:lang w:eastAsia="en-GB"/>
              </w:rPr>
            </w:pPr>
            <w:r w:rsidRPr="0083769F">
              <w:rPr>
                <w:rFonts w:ascii="Arial" w:eastAsia="Times New Roman" w:hAnsi="Arial" w:cs="Arial"/>
                <w:color w:val="000000"/>
                <w:sz w:val="20"/>
                <w:szCs w:val="20"/>
                <w:lang w:eastAsia="en-GB"/>
              </w:rPr>
              <w:t xml:space="preserve">XE-RET </w:t>
            </w:r>
          </w:p>
        </w:tc>
      </w:tr>
      <w:tr w:rsidR="00A7441A" w:rsidRPr="0083769F" w:rsidTr="006559BA">
        <w:trPr>
          <w:trHeight w:val="30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rsidR="00A7441A" w:rsidRPr="0083769F" w:rsidRDefault="00A7441A" w:rsidP="006559BA">
            <w:pPr>
              <w:spacing w:after="0" w:line="240" w:lineRule="auto"/>
              <w:rPr>
                <w:rFonts w:ascii="Arial" w:eastAsia="Times New Roman" w:hAnsi="Arial" w:cs="Arial"/>
                <w:color w:val="000000"/>
                <w:sz w:val="20"/>
                <w:szCs w:val="20"/>
                <w:lang w:eastAsia="en-GB"/>
              </w:rPr>
            </w:pPr>
            <w:r w:rsidRPr="0083769F">
              <w:rPr>
                <w:rFonts w:ascii="Arial" w:eastAsia="Times New Roman" w:hAnsi="Arial" w:cs="Arial"/>
                <w:color w:val="000000"/>
                <w:sz w:val="20"/>
                <w:szCs w:val="20"/>
                <w:lang w:eastAsia="en-GB"/>
              </w:rPr>
              <w:t>Advia</w:t>
            </w:r>
          </w:p>
        </w:tc>
        <w:tc>
          <w:tcPr>
            <w:tcW w:w="2880" w:type="dxa"/>
            <w:tcBorders>
              <w:top w:val="nil"/>
              <w:left w:val="nil"/>
              <w:bottom w:val="single" w:sz="4" w:space="0" w:color="auto"/>
              <w:right w:val="single" w:sz="4" w:space="0" w:color="auto"/>
            </w:tcBorders>
            <w:shd w:val="clear" w:color="auto" w:fill="auto"/>
            <w:noWrap/>
            <w:vAlign w:val="bottom"/>
            <w:hideMark/>
          </w:tcPr>
          <w:p w:rsidR="00A7441A" w:rsidRPr="0083769F" w:rsidRDefault="00A7441A" w:rsidP="006559BA">
            <w:pPr>
              <w:spacing w:after="0" w:line="240" w:lineRule="auto"/>
              <w:rPr>
                <w:rFonts w:ascii="Arial" w:eastAsia="Times New Roman" w:hAnsi="Arial" w:cs="Arial"/>
                <w:color w:val="000000"/>
                <w:sz w:val="20"/>
                <w:szCs w:val="20"/>
                <w:lang w:eastAsia="en-GB"/>
              </w:rPr>
            </w:pPr>
            <w:r w:rsidRPr="0083769F">
              <w:rPr>
                <w:rFonts w:ascii="Arial" w:eastAsia="Times New Roman" w:hAnsi="Arial" w:cs="Arial"/>
                <w:color w:val="000000"/>
                <w:sz w:val="20"/>
                <w:szCs w:val="20"/>
                <w:lang w:eastAsia="en-GB"/>
              </w:rPr>
              <w:t xml:space="preserve">ADVIA RETIC PLUS </w:t>
            </w:r>
          </w:p>
        </w:tc>
      </w:tr>
      <w:tr w:rsidR="00A7441A" w:rsidRPr="0083769F" w:rsidTr="006559BA">
        <w:trPr>
          <w:trHeight w:val="30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rsidR="00A7441A" w:rsidRPr="0083769F" w:rsidRDefault="00A7441A" w:rsidP="006559BA">
            <w:pPr>
              <w:spacing w:after="0" w:line="240" w:lineRule="auto"/>
              <w:rPr>
                <w:rFonts w:ascii="Arial" w:eastAsia="Times New Roman" w:hAnsi="Arial" w:cs="Arial"/>
                <w:color w:val="000000"/>
                <w:sz w:val="20"/>
                <w:szCs w:val="20"/>
                <w:lang w:eastAsia="en-GB"/>
              </w:rPr>
            </w:pPr>
            <w:r w:rsidRPr="0083769F">
              <w:rPr>
                <w:rFonts w:ascii="Arial" w:eastAsia="Times New Roman" w:hAnsi="Arial" w:cs="Arial"/>
                <w:color w:val="000000"/>
                <w:sz w:val="20"/>
                <w:szCs w:val="20"/>
                <w:lang w:eastAsia="en-GB"/>
              </w:rPr>
              <w:t>Coulter LH and DxH</w:t>
            </w:r>
          </w:p>
        </w:tc>
        <w:tc>
          <w:tcPr>
            <w:tcW w:w="2880" w:type="dxa"/>
            <w:tcBorders>
              <w:top w:val="nil"/>
              <w:left w:val="nil"/>
              <w:bottom w:val="single" w:sz="4" w:space="0" w:color="auto"/>
              <w:right w:val="single" w:sz="4" w:space="0" w:color="auto"/>
            </w:tcBorders>
            <w:shd w:val="clear" w:color="auto" w:fill="auto"/>
            <w:noWrap/>
            <w:vAlign w:val="bottom"/>
            <w:hideMark/>
          </w:tcPr>
          <w:p w:rsidR="00A7441A" w:rsidRPr="0083769F" w:rsidRDefault="00A7441A" w:rsidP="006559BA">
            <w:pPr>
              <w:spacing w:after="0" w:line="240" w:lineRule="auto"/>
              <w:rPr>
                <w:rFonts w:ascii="Arial" w:eastAsia="Times New Roman" w:hAnsi="Arial" w:cs="Arial"/>
                <w:color w:val="000000"/>
                <w:sz w:val="20"/>
                <w:szCs w:val="20"/>
                <w:lang w:eastAsia="en-GB"/>
              </w:rPr>
            </w:pPr>
            <w:r w:rsidRPr="0083769F">
              <w:rPr>
                <w:rFonts w:ascii="Arial" w:eastAsia="Times New Roman" w:hAnsi="Arial" w:cs="Arial"/>
                <w:color w:val="000000"/>
                <w:sz w:val="20"/>
                <w:szCs w:val="20"/>
                <w:lang w:eastAsia="en-GB"/>
              </w:rPr>
              <w:t xml:space="preserve">RETIC-I Plus </w:t>
            </w:r>
          </w:p>
        </w:tc>
      </w:tr>
      <w:tr w:rsidR="00A7441A" w:rsidRPr="0083769F" w:rsidTr="006559BA">
        <w:trPr>
          <w:trHeight w:val="30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rsidR="00A7441A" w:rsidRPr="0083769F" w:rsidRDefault="00A7441A" w:rsidP="006559BA">
            <w:pPr>
              <w:spacing w:after="0" w:line="240" w:lineRule="auto"/>
              <w:rPr>
                <w:rFonts w:ascii="Arial" w:eastAsia="Times New Roman" w:hAnsi="Arial" w:cs="Arial"/>
                <w:color w:val="000000"/>
                <w:sz w:val="20"/>
                <w:szCs w:val="20"/>
                <w:lang w:eastAsia="en-GB"/>
              </w:rPr>
            </w:pPr>
            <w:r w:rsidRPr="0083769F">
              <w:rPr>
                <w:rFonts w:ascii="Arial" w:eastAsia="Times New Roman" w:hAnsi="Arial" w:cs="Arial"/>
                <w:color w:val="000000"/>
                <w:sz w:val="20"/>
                <w:szCs w:val="20"/>
                <w:lang w:eastAsia="en-GB"/>
              </w:rPr>
              <w:t>Mindray</w:t>
            </w:r>
          </w:p>
        </w:tc>
        <w:tc>
          <w:tcPr>
            <w:tcW w:w="2880" w:type="dxa"/>
            <w:tcBorders>
              <w:top w:val="nil"/>
              <w:left w:val="nil"/>
              <w:bottom w:val="single" w:sz="4" w:space="0" w:color="auto"/>
              <w:right w:val="single" w:sz="4" w:space="0" w:color="auto"/>
            </w:tcBorders>
            <w:shd w:val="clear" w:color="auto" w:fill="auto"/>
            <w:noWrap/>
            <w:vAlign w:val="bottom"/>
            <w:hideMark/>
          </w:tcPr>
          <w:p w:rsidR="00A7441A" w:rsidRPr="0083769F" w:rsidRDefault="00A7441A" w:rsidP="006559BA">
            <w:pPr>
              <w:spacing w:after="0" w:line="240" w:lineRule="auto"/>
              <w:rPr>
                <w:rFonts w:ascii="Arial" w:eastAsia="Times New Roman" w:hAnsi="Arial" w:cs="Arial"/>
                <w:color w:val="000000"/>
                <w:sz w:val="20"/>
                <w:szCs w:val="20"/>
                <w:lang w:eastAsia="en-GB"/>
              </w:rPr>
            </w:pPr>
            <w:r w:rsidRPr="0083769F">
              <w:rPr>
                <w:rFonts w:ascii="Arial" w:eastAsia="Times New Roman" w:hAnsi="Arial" w:cs="Arial"/>
                <w:color w:val="000000"/>
                <w:sz w:val="20"/>
                <w:szCs w:val="20"/>
                <w:lang w:eastAsia="en-GB"/>
              </w:rPr>
              <w:t xml:space="preserve">BC-RET </w:t>
            </w:r>
          </w:p>
        </w:tc>
      </w:tr>
    </w:tbl>
    <w:p w:rsidR="00A7441A" w:rsidRPr="0083769F" w:rsidRDefault="00A7441A" w:rsidP="00A7441A">
      <w:pPr>
        <w:rPr>
          <w:rFonts w:ascii="Arial" w:hAnsi="Arial" w:cs="Arial"/>
          <w:sz w:val="20"/>
          <w:szCs w:val="20"/>
        </w:rPr>
      </w:pPr>
    </w:p>
    <w:p w:rsidR="00A7441A" w:rsidRPr="0083769F" w:rsidRDefault="00A7441A" w:rsidP="00F670E8">
      <w:pPr>
        <w:spacing w:line="360" w:lineRule="auto"/>
        <w:rPr>
          <w:rFonts w:ascii="Arial" w:hAnsi="Arial" w:cs="Arial"/>
          <w:sz w:val="20"/>
          <w:szCs w:val="20"/>
        </w:rPr>
      </w:pPr>
      <w:r w:rsidRPr="0083769F">
        <w:rPr>
          <w:rFonts w:ascii="Arial" w:hAnsi="Arial" w:cs="Arial"/>
          <w:sz w:val="20"/>
          <w:szCs w:val="20"/>
        </w:rPr>
        <w:t xml:space="preserve">The NHLS </w:t>
      </w:r>
      <w:r w:rsidRPr="0083769F">
        <w:rPr>
          <w:rFonts w:ascii="Arial" w:eastAsia="Calibri" w:hAnsi="Arial" w:cs="Arial"/>
          <w:sz w:val="20"/>
          <w:szCs w:val="20"/>
        </w:rPr>
        <w:t xml:space="preserve">Automated Reticulocyte Count PTS Pilot study </w:t>
      </w:r>
      <w:r w:rsidRPr="0083769F">
        <w:rPr>
          <w:rFonts w:ascii="Arial" w:hAnsi="Arial" w:cs="Arial"/>
          <w:sz w:val="20"/>
          <w:szCs w:val="20"/>
        </w:rPr>
        <w:t>issued stabilised whole blood in which participants are required to determine the percentage and absolute counts within the preparation. Participants are required to return the below results:</w:t>
      </w:r>
    </w:p>
    <w:p w:rsidR="00A7441A" w:rsidRPr="0083769F" w:rsidRDefault="00A7441A" w:rsidP="00F670E8">
      <w:pPr>
        <w:spacing w:after="0" w:line="360" w:lineRule="auto"/>
        <w:contextualSpacing/>
        <w:jc w:val="both"/>
        <w:rPr>
          <w:rFonts w:ascii="Arial" w:hAnsi="Arial" w:cs="Arial"/>
          <w:sz w:val="20"/>
          <w:szCs w:val="20"/>
        </w:rPr>
      </w:pPr>
      <w:r w:rsidRPr="0083769F">
        <w:rPr>
          <w:rFonts w:ascii="Arial" w:hAnsi="Arial" w:cs="Arial"/>
          <w:sz w:val="20"/>
          <w:szCs w:val="20"/>
        </w:rPr>
        <w:t>Provide printout from analyser with result sheet. Write code number on analyser printout.</w:t>
      </w:r>
    </w:p>
    <w:p w:rsidR="00A7441A" w:rsidRPr="0083769F" w:rsidRDefault="00A7441A" w:rsidP="00F670E8">
      <w:pPr>
        <w:spacing w:after="0" w:line="360" w:lineRule="auto"/>
        <w:contextualSpacing/>
        <w:jc w:val="both"/>
        <w:rPr>
          <w:rFonts w:ascii="Arial" w:hAnsi="Arial" w:cs="Arial"/>
          <w:sz w:val="20"/>
          <w:szCs w:val="20"/>
        </w:rPr>
      </w:pPr>
      <w:r w:rsidRPr="0083769F">
        <w:rPr>
          <w:rFonts w:ascii="Arial" w:hAnsi="Arial" w:cs="Arial"/>
          <w:sz w:val="20"/>
          <w:szCs w:val="20"/>
        </w:rPr>
        <w:t>Provide units of measure on the results table (e.g. x10</w:t>
      </w:r>
      <w:r w:rsidR="00FB7E1F">
        <w:rPr>
          <w:rFonts w:ascii="Arial" w:hAnsi="Arial" w:cs="Arial"/>
          <w:sz w:val="20"/>
          <w:szCs w:val="20"/>
          <w:vertAlign w:val="superscript"/>
        </w:rPr>
        <w:t>12</w:t>
      </w:r>
      <w:r w:rsidRPr="0083769F">
        <w:rPr>
          <w:rFonts w:ascii="Arial" w:hAnsi="Arial" w:cs="Arial"/>
          <w:sz w:val="20"/>
          <w:szCs w:val="20"/>
        </w:rPr>
        <w:t>/l)</w:t>
      </w:r>
    </w:p>
    <w:p w:rsidR="00A7441A" w:rsidRPr="0083769F" w:rsidRDefault="00A7441A" w:rsidP="00F670E8">
      <w:pPr>
        <w:spacing w:after="0" w:line="360" w:lineRule="auto"/>
        <w:contextualSpacing/>
        <w:jc w:val="both"/>
        <w:rPr>
          <w:rFonts w:ascii="Arial" w:hAnsi="Arial" w:cs="Arial"/>
          <w:sz w:val="20"/>
          <w:szCs w:val="20"/>
        </w:rPr>
      </w:pPr>
      <w:r w:rsidRPr="0083769F">
        <w:rPr>
          <w:rFonts w:ascii="Arial" w:hAnsi="Arial" w:cs="Arial"/>
          <w:sz w:val="20"/>
          <w:szCs w:val="20"/>
        </w:rPr>
        <w:t>Give interpretation of results obtained.</w:t>
      </w:r>
    </w:p>
    <w:p w:rsidR="00A7441A" w:rsidRPr="0083769F" w:rsidRDefault="00A7441A" w:rsidP="00F670E8">
      <w:pPr>
        <w:spacing w:after="0" w:line="360" w:lineRule="auto"/>
        <w:contextualSpacing/>
        <w:jc w:val="both"/>
        <w:rPr>
          <w:rFonts w:ascii="Arial" w:hAnsi="Arial" w:cs="Arial"/>
          <w:sz w:val="20"/>
          <w:szCs w:val="20"/>
        </w:rPr>
      </w:pPr>
      <w:r w:rsidRPr="0083769F">
        <w:rPr>
          <w:rFonts w:ascii="Arial" w:hAnsi="Arial" w:cs="Arial"/>
          <w:sz w:val="20"/>
          <w:szCs w:val="20"/>
        </w:rPr>
        <w:t>Provide the laboratory t</w:t>
      </w:r>
      <w:r w:rsidR="003929CF">
        <w:rPr>
          <w:rFonts w:ascii="Arial" w:hAnsi="Arial" w:cs="Arial"/>
          <w:sz w:val="20"/>
          <w:szCs w:val="20"/>
        </w:rPr>
        <w:t>ier your laboratory falls under.</w:t>
      </w:r>
    </w:p>
    <w:p w:rsidR="00A7441A" w:rsidRPr="0083769F" w:rsidRDefault="00372DB8" w:rsidP="00F670E8">
      <w:pPr>
        <w:spacing w:after="0" w:line="360" w:lineRule="auto"/>
        <w:contextualSpacing/>
        <w:jc w:val="both"/>
        <w:rPr>
          <w:rFonts w:ascii="Arial" w:hAnsi="Arial" w:cs="Arial"/>
          <w:sz w:val="20"/>
          <w:szCs w:val="20"/>
        </w:rPr>
      </w:pPr>
      <w:r>
        <w:rPr>
          <w:noProof/>
          <w:lang w:val="en-ZA" w:eastAsia="en-ZA"/>
        </w:rPr>
        <w:lastRenderedPageBreak/>
        <w:drawing>
          <wp:inline distT="0" distB="0" distL="0" distR="0" wp14:anchorId="0B76DCC7" wp14:editId="18742114">
            <wp:extent cx="6645910" cy="468185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4681855"/>
                    </a:xfrm>
                    <a:prstGeom prst="rect">
                      <a:avLst/>
                    </a:prstGeom>
                  </pic:spPr>
                </pic:pic>
              </a:graphicData>
            </a:graphic>
          </wp:inline>
        </w:drawing>
      </w:r>
    </w:p>
    <w:p w:rsidR="00A7441A" w:rsidRPr="0083769F" w:rsidRDefault="00A7441A" w:rsidP="00F670E8">
      <w:pPr>
        <w:spacing w:line="360" w:lineRule="auto"/>
        <w:rPr>
          <w:rFonts w:ascii="Arial" w:hAnsi="Arial" w:cs="Arial"/>
          <w:sz w:val="20"/>
          <w:szCs w:val="20"/>
        </w:rPr>
      </w:pPr>
    </w:p>
    <w:p w:rsidR="00A7441A" w:rsidRPr="0083769F" w:rsidRDefault="00A7441A" w:rsidP="00F670E8">
      <w:pPr>
        <w:pStyle w:val="ListParagraph"/>
        <w:numPr>
          <w:ilvl w:val="0"/>
          <w:numId w:val="33"/>
        </w:numPr>
        <w:spacing w:after="0" w:line="360" w:lineRule="auto"/>
        <w:rPr>
          <w:rFonts w:ascii="Arial" w:hAnsi="Arial" w:cs="Arial"/>
          <w:b/>
          <w:sz w:val="20"/>
          <w:szCs w:val="20"/>
        </w:rPr>
      </w:pPr>
      <w:r w:rsidRPr="0083769F">
        <w:rPr>
          <w:rFonts w:ascii="Arial" w:hAnsi="Arial" w:cs="Arial"/>
          <w:b/>
          <w:sz w:val="20"/>
          <w:szCs w:val="20"/>
        </w:rPr>
        <w:t>Participation</w:t>
      </w:r>
    </w:p>
    <w:p w:rsidR="00A7441A" w:rsidRPr="0083769F" w:rsidRDefault="00A7441A" w:rsidP="00F670E8">
      <w:pPr>
        <w:autoSpaceDE w:val="0"/>
        <w:autoSpaceDN w:val="0"/>
        <w:adjustRightInd w:val="0"/>
        <w:spacing w:line="360" w:lineRule="auto"/>
        <w:contextualSpacing/>
        <w:rPr>
          <w:rFonts w:ascii="Arial" w:hAnsi="Arial" w:cs="Arial"/>
          <w:sz w:val="20"/>
          <w:szCs w:val="20"/>
        </w:rPr>
      </w:pPr>
      <w:r w:rsidRPr="0083769F">
        <w:rPr>
          <w:rFonts w:ascii="Arial" w:hAnsi="Arial" w:cs="Arial"/>
          <w:sz w:val="20"/>
          <w:szCs w:val="20"/>
        </w:rPr>
        <w:t>Participation is open to all laboratories who offer Haematology full blood counts and reticulocyte counts that have been selected for the pilot study.</w:t>
      </w:r>
    </w:p>
    <w:p w:rsidR="00A7441A" w:rsidRPr="0083769F" w:rsidRDefault="00A7441A" w:rsidP="00F670E8">
      <w:pPr>
        <w:autoSpaceDE w:val="0"/>
        <w:autoSpaceDN w:val="0"/>
        <w:adjustRightInd w:val="0"/>
        <w:spacing w:line="360" w:lineRule="auto"/>
        <w:contextualSpacing/>
        <w:rPr>
          <w:rFonts w:ascii="Arial" w:hAnsi="Arial" w:cs="Arial"/>
          <w:sz w:val="20"/>
          <w:szCs w:val="20"/>
        </w:rPr>
      </w:pPr>
    </w:p>
    <w:p w:rsidR="00A7441A" w:rsidRPr="0083769F" w:rsidRDefault="00A7441A" w:rsidP="00F670E8">
      <w:pPr>
        <w:pStyle w:val="ListParagraph"/>
        <w:numPr>
          <w:ilvl w:val="0"/>
          <w:numId w:val="33"/>
        </w:numPr>
        <w:spacing w:after="0" w:line="360" w:lineRule="auto"/>
        <w:jc w:val="both"/>
        <w:rPr>
          <w:rFonts w:ascii="Arial" w:hAnsi="Arial" w:cs="Arial"/>
          <w:b/>
          <w:sz w:val="20"/>
          <w:szCs w:val="20"/>
        </w:rPr>
      </w:pPr>
      <w:r w:rsidRPr="0083769F">
        <w:rPr>
          <w:rFonts w:ascii="Arial" w:hAnsi="Arial" w:cs="Arial"/>
          <w:b/>
          <w:sz w:val="20"/>
          <w:szCs w:val="20"/>
        </w:rPr>
        <w:t>Methodology</w:t>
      </w:r>
    </w:p>
    <w:p w:rsidR="00A7441A" w:rsidRPr="0083769F" w:rsidRDefault="00A7441A" w:rsidP="00F670E8">
      <w:pPr>
        <w:spacing w:line="360" w:lineRule="auto"/>
        <w:contextualSpacing/>
        <w:jc w:val="both"/>
        <w:rPr>
          <w:rFonts w:ascii="Arial" w:hAnsi="Arial" w:cs="Arial"/>
          <w:sz w:val="20"/>
          <w:szCs w:val="20"/>
        </w:rPr>
      </w:pPr>
      <w:r w:rsidRPr="0083769F">
        <w:rPr>
          <w:rFonts w:ascii="Arial" w:hAnsi="Arial" w:cs="Arial"/>
          <w:sz w:val="20"/>
          <w:szCs w:val="20"/>
        </w:rPr>
        <w:t>The laboratories are to use the haematology analyser method for their laboratory.</w:t>
      </w:r>
    </w:p>
    <w:p w:rsidR="00A7441A" w:rsidRPr="0083769F" w:rsidRDefault="00A7441A" w:rsidP="00F670E8">
      <w:pPr>
        <w:spacing w:line="360" w:lineRule="auto"/>
        <w:contextualSpacing/>
        <w:jc w:val="both"/>
        <w:rPr>
          <w:rFonts w:ascii="Arial" w:hAnsi="Arial" w:cs="Arial"/>
          <w:sz w:val="20"/>
          <w:szCs w:val="20"/>
        </w:rPr>
      </w:pPr>
      <w:r w:rsidRPr="0083769F">
        <w:rPr>
          <w:rFonts w:ascii="Arial" w:hAnsi="Arial" w:cs="Arial"/>
          <w:sz w:val="20"/>
          <w:szCs w:val="20"/>
        </w:rPr>
        <w:t>.</w:t>
      </w:r>
    </w:p>
    <w:p w:rsidR="00A7441A" w:rsidRPr="0083769F" w:rsidRDefault="00A7441A" w:rsidP="00F670E8">
      <w:pPr>
        <w:spacing w:line="360" w:lineRule="auto"/>
        <w:contextualSpacing/>
        <w:jc w:val="both"/>
        <w:rPr>
          <w:rFonts w:ascii="Arial" w:hAnsi="Arial" w:cs="Arial"/>
          <w:sz w:val="20"/>
          <w:szCs w:val="20"/>
        </w:rPr>
      </w:pPr>
      <w:r w:rsidRPr="0083769F">
        <w:rPr>
          <w:rFonts w:ascii="Arial" w:hAnsi="Arial" w:cs="Arial"/>
          <w:sz w:val="20"/>
          <w:szCs w:val="20"/>
        </w:rPr>
        <w:t>Methodology for the following user groups</w:t>
      </w:r>
    </w:p>
    <w:p w:rsidR="00A7441A" w:rsidRPr="0083769F" w:rsidRDefault="00A7441A" w:rsidP="00F670E8">
      <w:pPr>
        <w:spacing w:line="360" w:lineRule="auto"/>
        <w:contextualSpacing/>
        <w:jc w:val="both"/>
        <w:rPr>
          <w:rFonts w:ascii="Arial" w:hAnsi="Arial" w:cs="Arial"/>
          <w:sz w:val="20"/>
          <w:szCs w:val="20"/>
        </w:rPr>
      </w:pPr>
    </w:p>
    <w:p w:rsidR="00A7441A" w:rsidRPr="0083769F" w:rsidRDefault="00A7441A" w:rsidP="00F670E8">
      <w:pPr>
        <w:numPr>
          <w:ilvl w:val="0"/>
          <w:numId w:val="35"/>
        </w:numPr>
        <w:spacing w:after="0" w:line="360" w:lineRule="auto"/>
        <w:rPr>
          <w:rFonts w:ascii="Arial" w:hAnsi="Arial" w:cs="Arial"/>
          <w:color w:val="000000"/>
          <w:sz w:val="20"/>
          <w:szCs w:val="20"/>
        </w:rPr>
      </w:pPr>
      <w:r w:rsidRPr="0083769F">
        <w:rPr>
          <w:rFonts w:ascii="Arial" w:hAnsi="Arial" w:cs="Arial"/>
          <w:color w:val="000000"/>
          <w:sz w:val="20"/>
          <w:szCs w:val="20"/>
        </w:rPr>
        <w:t>Coulter LH and DxH series</w:t>
      </w:r>
    </w:p>
    <w:p w:rsidR="00A7441A" w:rsidRPr="0083769F" w:rsidRDefault="00A7441A" w:rsidP="00F670E8">
      <w:pPr>
        <w:numPr>
          <w:ilvl w:val="0"/>
          <w:numId w:val="35"/>
        </w:numPr>
        <w:spacing w:after="0" w:line="360" w:lineRule="auto"/>
        <w:rPr>
          <w:rFonts w:ascii="Arial" w:hAnsi="Arial" w:cs="Arial"/>
          <w:color w:val="000000"/>
          <w:sz w:val="20"/>
          <w:szCs w:val="20"/>
        </w:rPr>
      </w:pPr>
      <w:r w:rsidRPr="0083769F">
        <w:rPr>
          <w:rFonts w:ascii="Arial" w:hAnsi="Arial" w:cs="Arial"/>
          <w:color w:val="000000"/>
          <w:sz w:val="20"/>
          <w:szCs w:val="20"/>
        </w:rPr>
        <w:t>Advia series</w:t>
      </w:r>
    </w:p>
    <w:p w:rsidR="00A7441A" w:rsidRDefault="00A7441A" w:rsidP="00F670E8">
      <w:pPr>
        <w:numPr>
          <w:ilvl w:val="0"/>
          <w:numId w:val="35"/>
        </w:numPr>
        <w:spacing w:after="0" w:line="360" w:lineRule="auto"/>
        <w:rPr>
          <w:rFonts w:ascii="Arial" w:hAnsi="Arial" w:cs="Arial"/>
          <w:color w:val="000000"/>
          <w:sz w:val="20"/>
          <w:szCs w:val="20"/>
        </w:rPr>
      </w:pPr>
      <w:r w:rsidRPr="0083769F">
        <w:rPr>
          <w:rFonts w:ascii="Arial" w:hAnsi="Arial" w:cs="Arial"/>
          <w:color w:val="000000"/>
          <w:sz w:val="20"/>
          <w:szCs w:val="20"/>
        </w:rPr>
        <w:t>Sysmex series</w:t>
      </w:r>
    </w:p>
    <w:p w:rsidR="003929CF" w:rsidRPr="0083769F" w:rsidRDefault="003929CF" w:rsidP="00F670E8">
      <w:pPr>
        <w:numPr>
          <w:ilvl w:val="0"/>
          <w:numId w:val="35"/>
        </w:numPr>
        <w:spacing w:after="0" w:line="360" w:lineRule="auto"/>
        <w:rPr>
          <w:rFonts w:ascii="Arial" w:hAnsi="Arial" w:cs="Arial"/>
          <w:color w:val="000000"/>
          <w:sz w:val="20"/>
          <w:szCs w:val="20"/>
        </w:rPr>
      </w:pPr>
      <w:r>
        <w:rPr>
          <w:rFonts w:ascii="Arial" w:hAnsi="Arial" w:cs="Arial"/>
          <w:color w:val="000000"/>
          <w:sz w:val="20"/>
          <w:szCs w:val="20"/>
        </w:rPr>
        <w:t>Mindray series</w:t>
      </w:r>
    </w:p>
    <w:p w:rsidR="00A7441A" w:rsidRPr="0083769F" w:rsidRDefault="00A7441A" w:rsidP="00F670E8">
      <w:pPr>
        <w:spacing w:line="360" w:lineRule="auto"/>
        <w:contextualSpacing/>
        <w:rPr>
          <w:rFonts w:ascii="Arial" w:hAnsi="Arial" w:cs="Arial"/>
          <w:color w:val="000000"/>
          <w:sz w:val="20"/>
          <w:szCs w:val="20"/>
        </w:rPr>
      </w:pPr>
    </w:p>
    <w:p w:rsidR="00A7441A" w:rsidRPr="0083769F" w:rsidRDefault="00A7441A" w:rsidP="00F670E8">
      <w:pPr>
        <w:spacing w:line="360" w:lineRule="auto"/>
        <w:contextualSpacing/>
        <w:rPr>
          <w:rFonts w:ascii="Arial" w:hAnsi="Arial" w:cs="Arial"/>
          <w:b/>
          <w:color w:val="000000"/>
          <w:sz w:val="20"/>
          <w:szCs w:val="20"/>
        </w:rPr>
      </w:pPr>
      <w:r w:rsidRPr="0083769F">
        <w:rPr>
          <w:rFonts w:ascii="Arial" w:hAnsi="Arial" w:cs="Arial"/>
          <w:b/>
          <w:color w:val="000000"/>
          <w:sz w:val="20"/>
          <w:szCs w:val="20"/>
        </w:rPr>
        <w:t>B. Homogeneity and stability</w:t>
      </w:r>
    </w:p>
    <w:p w:rsidR="00A7441A" w:rsidRPr="0083769F" w:rsidRDefault="00A7441A" w:rsidP="00F670E8">
      <w:pPr>
        <w:spacing w:line="360" w:lineRule="auto"/>
        <w:contextualSpacing/>
        <w:rPr>
          <w:rFonts w:ascii="Arial" w:hAnsi="Arial" w:cs="Arial"/>
          <w:noProof/>
          <w:color w:val="000000"/>
          <w:sz w:val="20"/>
          <w:szCs w:val="20"/>
          <w:lang w:eastAsia="en-ZA"/>
        </w:rPr>
      </w:pPr>
      <w:r w:rsidRPr="0083769F">
        <w:rPr>
          <w:rFonts w:ascii="Arial" w:hAnsi="Arial" w:cs="Arial"/>
          <w:noProof/>
          <w:color w:val="000000"/>
          <w:sz w:val="20"/>
          <w:szCs w:val="20"/>
          <w:lang w:eastAsia="en-ZA"/>
        </w:rPr>
        <w:t>The samples have been tested and found to be homogeneous and stable for this scheme.</w:t>
      </w:r>
    </w:p>
    <w:p w:rsidR="00A7441A" w:rsidRPr="0083769F" w:rsidRDefault="00A7441A" w:rsidP="00F670E8">
      <w:pPr>
        <w:spacing w:line="360" w:lineRule="auto"/>
        <w:contextualSpacing/>
        <w:rPr>
          <w:rFonts w:ascii="Arial" w:hAnsi="Arial" w:cs="Arial"/>
          <w:color w:val="000000"/>
          <w:sz w:val="20"/>
          <w:szCs w:val="20"/>
        </w:rPr>
      </w:pPr>
    </w:p>
    <w:p w:rsidR="00A7441A" w:rsidRPr="0083769F" w:rsidRDefault="00A7441A" w:rsidP="00F670E8">
      <w:pPr>
        <w:spacing w:line="360" w:lineRule="auto"/>
        <w:contextualSpacing/>
        <w:rPr>
          <w:rFonts w:ascii="Arial" w:hAnsi="Arial" w:cs="Arial"/>
          <w:b/>
          <w:color w:val="000000"/>
          <w:sz w:val="20"/>
          <w:szCs w:val="20"/>
        </w:rPr>
      </w:pPr>
      <w:r w:rsidRPr="0083769F">
        <w:rPr>
          <w:rFonts w:ascii="Arial" w:hAnsi="Arial" w:cs="Arial"/>
          <w:b/>
          <w:color w:val="000000"/>
          <w:sz w:val="20"/>
          <w:szCs w:val="20"/>
        </w:rPr>
        <w:t xml:space="preserve">C. Potential biohazardous material </w:t>
      </w:r>
    </w:p>
    <w:p w:rsidR="00A7441A" w:rsidRPr="0083769F" w:rsidRDefault="00A7441A" w:rsidP="00F670E8">
      <w:pPr>
        <w:spacing w:line="360" w:lineRule="auto"/>
        <w:rPr>
          <w:rFonts w:ascii="Arial" w:hAnsi="Arial" w:cs="Arial"/>
          <w:color w:val="000000"/>
          <w:sz w:val="20"/>
          <w:szCs w:val="20"/>
        </w:rPr>
      </w:pPr>
      <w:r w:rsidRPr="0083769F">
        <w:rPr>
          <w:rFonts w:ascii="Arial" w:hAnsi="Arial" w:cs="Arial"/>
          <w:color w:val="000000"/>
          <w:sz w:val="20"/>
          <w:szCs w:val="20"/>
        </w:rPr>
        <w:lastRenderedPageBreak/>
        <w:t xml:space="preserve">Each donor unit used in the preparation of this material was tested by an FDA approved method for the presence of the antibodies to Human Immunodeficiency Virus (HIV-1, HIV-2) and Hepatitis C Virus (HCV) as well as the Hepatitis B surface antigen (HbsAg) and found to be negative (were not repeatedly reactive). </w:t>
      </w:r>
    </w:p>
    <w:p w:rsidR="00A7441A" w:rsidRPr="0083769F" w:rsidRDefault="00A7441A" w:rsidP="00F670E8">
      <w:pPr>
        <w:spacing w:line="360" w:lineRule="auto"/>
        <w:rPr>
          <w:rFonts w:ascii="Arial" w:hAnsi="Arial" w:cs="Arial"/>
          <w:color w:val="000000"/>
          <w:sz w:val="20"/>
          <w:szCs w:val="20"/>
        </w:rPr>
      </w:pPr>
      <w:r w:rsidRPr="0083769F">
        <w:rPr>
          <w:rFonts w:ascii="Arial" w:hAnsi="Arial" w:cs="Arial"/>
          <w:color w:val="000000"/>
          <w:sz w:val="20"/>
          <w:szCs w:val="20"/>
        </w:rPr>
        <w:t xml:space="preserve"> Because no test method can offer complete assurance that HIV, HCV, Hepatitis B Virus (HBV), or other infectious agents are absent, this reagent should be handled at the Biosafety Level 2 as recommended for any potentially infectious human serum or blood specimen. The laboratories should use good laboratory practice when handling this reagent.</w:t>
      </w:r>
    </w:p>
    <w:p w:rsidR="00A7441A" w:rsidRPr="0083769F" w:rsidRDefault="00A7441A" w:rsidP="00F670E8">
      <w:pPr>
        <w:pStyle w:val="Default"/>
        <w:spacing w:line="360" w:lineRule="auto"/>
        <w:rPr>
          <w:rFonts w:ascii="Arial" w:hAnsi="Arial" w:cs="Arial"/>
          <w:sz w:val="20"/>
          <w:szCs w:val="20"/>
        </w:rPr>
      </w:pPr>
      <w:r w:rsidRPr="0083769F">
        <w:rPr>
          <w:rFonts w:ascii="Arial" w:hAnsi="Arial" w:cs="Arial"/>
          <w:b/>
          <w:bCs/>
          <w:sz w:val="20"/>
          <w:szCs w:val="20"/>
        </w:rPr>
        <w:t>D. Stability and storage</w:t>
      </w:r>
    </w:p>
    <w:p w:rsidR="00A7441A" w:rsidRPr="0083769F" w:rsidRDefault="00A7441A" w:rsidP="00F670E8">
      <w:pPr>
        <w:pStyle w:val="Default"/>
        <w:spacing w:line="360" w:lineRule="auto"/>
        <w:rPr>
          <w:rFonts w:ascii="Arial" w:hAnsi="Arial" w:cs="Arial"/>
          <w:sz w:val="20"/>
          <w:szCs w:val="20"/>
        </w:rPr>
      </w:pPr>
      <w:r w:rsidRPr="0083769F">
        <w:rPr>
          <w:rFonts w:ascii="Arial" w:hAnsi="Arial" w:cs="Arial"/>
          <w:sz w:val="20"/>
          <w:szCs w:val="20"/>
        </w:rPr>
        <w:t xml:space="preserve">Store the tubes vertically in their original package at 2 to 8°C when not in use. DO NOT FREEZE. </w:t>
      </w:r>
    </w:p>
    <w:p w:rsidR="00A7441A" w:rsidRPr="0083769F" w:rsidRDefault="00A7441A" w:rsidP="00F670E8">
      <w:pPr>
        <w:spacing w:line="360" w:lineRule="auto"/>
        <w:contextualSpacing/>
        <w:rPr>
          <w:rFonts w:ascii="Arial" w:hAnsi="Arial" w:cs="Arial"/>
          <w:color w:val="000000"/>
          <w:sz w:val="20"/>
          <w:szCs w:val="20"/>
        </w:rPr>
      </w:pPr>
    </w:p>
    <w:p w:rsidR="00A7441A" w:rsidRPr="0083769F" w:rsidRDefault="00A7441A" w:rsidP="00F670E8">
      <w:pPr>
        <w:spacing w:line="360" w:lineRule="auto"/>
        <w:contextualSpacing/>
        <w:rPr>
          <w:rFonts w:ascii="Arial" w:hAnsi="Arial" w:cs="Arial"/>
          <w:b/>
          <w:color w:val="000000"/>
          <w:sz w:val="20"/>
          <w:szCs w:val="20"/>
        </w:rPr>
      </w:pPr>
      <w:r w:rsidRPr="0083769F">
        <w:rPr>
          <w:rFonts w:ascii="Arial" w:hAnsi="Arial" w:cs="Arial"/>
          <w:b/>
          <w:color w:val="000000"/>
          <w:sz w:val="20"/>
          <w:szCs w:val="20"/>
        </w:rPr>
        <w:t>E. Reconstitution</w:t>
      </w:r>
    </w:p>
    <w:p w:rsidR="00A7441A" w:rsidRPr="0083769F" w:rsidRDefault="00A7441A" w:rsidP="00F670E8">
      <w:pPr>
        <w:numPr>
          <w:ilvl w:val="0"/>
          <w:numId w:val="36"/>
        </w:numPr>
        <w:spacing w:after="0" w:line="360" w:lineRule="auto"/>
        <w:contextualSpacing/>
        <w:rPr>
          <w:rFonts w:ascii="Arial" w:hAnsi="Arial" w:cs="Arial"/>
          <w:color w:val="000000"/>
          <w:sz w:val="20"/>
          <w:szCs w:val="20"/>
        </w:rPr>
      </w:pPr>
      <w:r w:rsidRPr="0083769F">
        <w:rPr>
          <w:rFonts w:ascii="Arial" w:hAnsi="Arial" w:cs="Arial"/>
          <w:color w:val="000000"/>
          <w:sz w:val="20"/>
          <w:szCs w:val="20"/>
        </w:rPr>
        <w:t>No reconstitution required, the sample is stabilized whole blood.</w:t>
      </w:r>
    </w:p>
    <w:p w:rsidR="00A7441A" w:rsidRPr="0083769F" w:rsidRDefault="00A7441A" w:rsidP="00F670E8">
      <w:pPr>
        <w:pStyle w:val="Default"/>
        <w:numPr>
          <w:ilvl w:val="0"/>
          <w:numId w:val="36"/>
        </w:numPr>
        <w:spacing w:line="360" w:lineRule="auto"/>
        <w:rPr>
          <w:rFonts w:ascii="Arial" w:hAnsi="Arial" w:cs="Arial"/>
          <w:sz w:val="20"/>
          <w:szCs w:val="20"/>
        </w:rPr>
      </w:pPr>
      <w:r w:rsidRPr="0083769F">
        <w:rPr>
          <w:rFonts w:ascii="Arial" w:hAnsi="Arial" w:cs="Arial"/>
          <w:sz w:val="20"/>
          <w:szCs w:val="20"/>
        </w:rPr>
        <w:t xml:space="preserve">Remove the tube of blood from the refrigerator and allow to warm at room temperature (18 to 25°C) for 15 minutes before mixing. </w:t>
      </w:r>
    </w:p>
    <w:p w:rsidR="00A7441A" w:rsidRPr="0083769F" w:rsidRDefault="00A7441A" w:rsidP="00F670E8">
      <w:pPr>
        <w:pStyle w:val="Default"/>
        <w:numPr>
          <w:ilvl w:val="0"/>
          <w:numId w:val="36"/>
        </w:numPr>
        <w:spacing w:line="360" w:lineRule="auto"/>
        <w:rPr>
          <w:rFonts w:ascii="Arial" w:hAnsi="Arial" w:cs="Arial"/>
          <w:sz w:val="20"/>
          <w:szCs w:val="20"/>
        </w:rPr>
      </w:pPr>
      <w:r w:rsidRPr="0083769F">
        <w:rPr>
          <w:rFonts w:ascii="Arial" w:hAnsi="Arial" w:cs="Arial"/>
          <w:sz w:val="20"/>
          <w:szCs w:val="20"/>
        </w:rPr>
        <w:t xml:space="preserve">To mix, hold a tube horizontally between the palms of the hands. </w:t>
      </w:r>
      <w:r w:rsidRPr="0083769F">
        <w:rPr>
          <w:rFonts w:ascii="Arial" w:hAnsi="Arial" w:cs="Arial"/>
          <w:bCs/>
          <w:sz w:val="20"/>
          <w:szCs w:val="20"/>
        </w:rPr>
        <w:t>Do not pre-mix on a mechanical mixer</w:t>
      </w:r>
      <w:r w:rsidRPr="0083769F">
        <w:rPr>
          <w:rFonts w:ascii="Arial" w:hAnsi="Arial" w:cs="Arial"/>
          <w:sz w:val="20"/>
          <w:szCs w:val="20"/>
        </w:rPr>
        <w:t xml:space="preserve">. </w:t>
      </w:r>
    </w:p>
    <w:p w:rsidR="00A7441A" w:rsidRPr="0083769F" w:rsidRDefault="00A7441A" w:rsidP="00F670E8">
      <w:pPr>
        <w:pStyle w:val="Default"/>
        <w:numPr>
          <w:ilvl w:val="0"/>
          <w:numId w:val="36"/>
        </w:numPr>
        <w:spacing w:line="360" w:lineRule="auto"/>
        <w:rPr>
          <w:rFonts w:ascii="Arial" w:hAnsi="Arial" w:cs="Arial"/>
          <w:sz w:val="20"/>
          <w:szCs w:val="20"/>
        </w:rPr>
      </w:pPr>
      <w:r w:rsidRPr="0083769F">
        <w:rPr>
          <w:rFonts w:ascii="Arial" w:hAnsi="Arial" w:cs="Arial"/>
          <w:sz w:val="20"/>
          <w:szCs w:val="20"/>
        </w:rPr>
        <w:t xml:space="preserve">Roll the tube back and forth for 20 - 30 seconds; occasionally invert the tube. Mix vigorously, but do not shake. </w:t>
      </w:r>
    </w:p>
    <w:p w:rsidR="00A7441A" w:rsidRPr="0083769F" w:rsidRDefault="00A7441A" w:rsidP="00F670E8">
      <w:pPr>
        <w:pStyle w:val="Default"/>
        <w:numPr>
          <w:ilvl w:val="0"/>
          <w:numId w:val="36"/>
        </w:numPr>
        <w:spacing w:line="360" w:lineRule="auto"/>
        <w:rPr>
          <w:rFonts w:ascii="Arial" w:hAnsi="Arial" w:cs="Arial"/>
          <w:sz w:val="20"/>
          <w:szCs w:val="20"/>
        </w:rPr>
      </w:pPr>
      <w:r w:rsidRPr="0083769F">
        <w:rPr>
          <w:rFonts w:ascii="Arial" w:hAnsi="Arial" w:cs="Arial"/>
          <w:sz w:val="20"/>
          <w:szCs w:val="20"/>
        </w:rPr>
        <w:t xml:space="preserve">Continue to mix in this manner until the red cells are completely suspended. Tubes stored for a long time may require extra mixing, </w:t>
      </w:r>
    </w:p>
    <w:p w:rsidR="00A7441A" w:rsidRPr="0083769F" w:rsidRDefault="00A7441A" w:rsidP="00F670E8">
      <w:pPr>
        <w:pStyle w:val="Default"/>
        <w:numPr>
          <w:ilvl w:val="0"/>
          <w:numId w:val="36"/>
        </w:numPr>
        <w:spacing w:line="360" w:lineRule="auto"/>
        <w:rPr>
          <w:rFonts w:ascii="Arial" w:hAnsi="Arial" w:cs="Arial"/>
          <w:sz w:val="20"/>
          <w:szCs w:val="20"/>
        </w:rPr>
      </w:pPr>
      <w:r w:rsidRPr="0083769F">
        <w:rPr>
          <w:rFonts w:ascii="Arial" w:hAnsi="Arial" w:cs="Arial"/>
          <w:sz w:val="20"/>
          <w:szCs w:val="20"/>
        </w:rPr>
        <w:t xml:space="preserve">Gently invert the tube 8 - 10 times immediately before sampling. </w:t>
      </w:r>
    </w:p>
    <w:p w:rsidR="00A7441A" w:rsidRPr="0083769F" w:rsidRDefault="00A7441A" w:rsidP="00F670E8">
      <w:pPr>
        <w:pStyle w:val="Default"/>
        <w:numPr>
          <w:ilvl w:val="0"/>
          <w:numId w:val="36"/>
        </w:numPr>
        <w:spacing w:line="360" w:lineRule="auto"/>
        <w:rPr>
          <w:rFonts w:ascii="Arial" w:hAnsi="Arial" w:cs="Arial"/>
          <w:sz w:val="20"/>
          <w:szCs w:val="20"/>
        </w:rPr>
      </w:pPr>
      <w:r w:rsidRPr="0083769F">
        <w:rPr>
          <w:rFonts w:ascii="Arial" w:hAnsi="Arial" w:cs="Arial"/>
          <w:sz w:val="20"/>
          <w:szCs w:val="20"/>
        </w:rPr>
        <w:t>Return tube to the refrigerator within 30 minutes of use.</w:t>
      </w:r>
    </w:p>
    <w:p w:rsidR="00A7441A" w:rsidRPr="0083769F" w:rsidRDefault="00A7441A" w:rsidP="00F670E8">
      <w:pPr>
        <w:spacing w:line="360" w:lineRule="auto"/>
        <w:contextualSpacing/>
        <w:rPr>
          <w:rFonts w:ascii="Arial" w:hAnsi="Arial" w:cs="Arial"/>
          <w:color w:val="000000"/>
          <w:sz w:val="20"/>
          <w:szCs w:val="20"/>
        </w:rPr>
      </w:pPr>
    </w:p>
    <w:tbl>
      <w:tblPr>
        <w:tblW w:w="9534" w:type="dxa"/>
        <w:tblInd w:w="-108" w:type="dxa"/>
        <w:tblBorders>
          <w:top w:val="nil"/>
          <w:left w:val="nil"/>
          <w:bottom w:val="nil"/>
          <w:right w:val="nil"/>
        </w:tblBorders>
        <w:tblLayout w:type="fixed"/>
        <w:tblLook w:val="0000" w:firstRow="0" w:lastRow="0" w:firstColumn="0" w:lastColumn="0" w:noHBand="0" w:noVBand="0"/>
      </w:tblPr>
      <w:tblGrid>
        <w:gridCol w:w="9534"/>
      </w:tblGrid>
      <w:tr w:rsidR="00A7441A" w:rsidRPr="0083769F" w:rsidTr="006559BA">
        <w:trPr>
          <w:trHeight w:val="642"/>
        </w:trPr>
        <w:tc>
          <w:tcPr>
            <w:tcW w:w="9534" w:type="dxa"/>
          </w:tcPr>
          <w:p w:rsidR="00A7441A" w:rsidRPr="0083769F" w:rsidRDefault="00A7441A" w:rsidP="00F670E8">
            <w:pPr>
              <w:pStyle w:val="Default"/>
              <w:spacing w:line="360" w:lineRule="auto"/>
              <w:rPr>
                <w:rFonts w:ascii="Arial" w:hAnsi="Arial" w:cs="Arial"/>
                <w:b/>
                <w:bCs/>
                <w:sz w:val="20"/>
                <w:szCs w:val="20"/>
              </w:rPr>
            </w:pPr>
            <w:r w:rsidRPr="0083769F">
              <w:rPr>
                <w:rFonts w:ascii="Arial" w:hAnsi="Arial" w:cs="Arial"/>
                <w:b/>
                <w:bCs/>
                <w:sz w:val="20"/>
                <w:szCs w:val="20"/>
              </w:rPr>
              <w:t>F. USER GROUPS</w:t>
            </w:r>
          </w:p>
          <w:p w:rsidR="00A7441A" w:rsidRPr="0083769F" w:rsidRDefault="00A7441A" w:rsidP="00F670E8">
            <w:pPr>
              <w:pStyle w:val="Default"/>
              <w:spacing w:line="360" w:lineRule="auto"/>
              <w:ind w:left="672"/>
              <w:rPr>
                <w:rFonts w:ascii="Arial" w:hAnsi="Arial" w:cs="Arial"/>
                <w:sz w:val="20"/>
                <w:szCs w:val="20"/>
              </w:rPr>
            </w:pPr>
          </w:p>
        </w:tc>
      </w:tr>
    </w:tbl>
    <w:p w:rsidR="00A7441A" w:rsidRPr="0083769F" w:rsidRDefault="00A7441A" w:rsidP="00F670E8">
      <w:pPr>
        <w:pStyle w:val="Default"/>
        <w:numPr>
          <w:ilvl w:val="0"/>
          <w:numId w:val="37"/>
        </w:numPr>
        <w:spacing w:line="360" w:lineRule="auto"/>
        <w:rPr>
          <w:rFonts w:ascii="Arial" w:hAnsi="Arial" w:cs="Arial"/>
          <w:b/>
          <w:bCs/>
          <w:sz w:val="20"/>
          <w:szCs w:val="20"/>
        </w:rPr>
      </w:pPr>
      <w:r w:rsidRPr="0083769F">
        <w:rPr>
          <w:rFonts w:ascii="Arial" w:hAnsi="Arial" w:cs="Arial"/>
          <w:b/>
          <w:bCs/>
          <w:sz w:val="20"/>
          <w:szCs w:val="20"/>
        </w:rPr>
        <w:t>COULTER LH Series and DxH instruments</w:t>
      </w:r>
    </w:p>
    <w:p w:rsidR="00A7441A" w:rsidRPr="0083769F" w:rsidRDefault="00A7441A" w:rsidP="00F670E8">
      <w:pPr>
        <w:spacing w:line="360" w:lineRule="auto"/>
        <w:ind w:left="709"/>
        <w:contextualSpacing/>
        <w:rPr>
          <w:rFonts w:ascii="Arial" w:hAnsi="Arial" w:cs="Arial"/>
          <w:color w:val="000000"/>
          <w:sz w:val="20"/>
          <w:szCs w:val="20"/>
        </w:rPr>
      </w:pPr>
      <w:r w:rsidRPr="0083769F">
        <w:rPr>
          <w:rFonts w:ascii="Arial" w:hAnsi="Arial" w:cs="Arial"/>
          <w:color w:val="000000"/>
          <w:sz w:val="20"/>
          <w:szCs w:val="20"/>
        </w:rPr>
        <w:t>Whole blood material compatible with Coulter LH series, DxH 600, 800, 900 instruments.</w:t>
      </w:r>
    </w:p>
    <w:p w:rsidR="00A7441A" w:rsidRDefault="00A7441A" w:rsidP="00F670E8">
      <w:pPr>
        <w:pStyle w:val="Default"/>
        <w:numPr>
          <w:ilvl w:val="0"/>
          <w:numId w:val="38"/>
        </w:numPr>
        <w:spacing w:line="360" w:lineRule="auto"/>
        <w:rPr>
          <w:rFonts w:ascii="Arial" w:hAnsi="Arial" w:cs="Arial"/>
          <w:sz w:val="20"/>
          <w:szCs w:val="20"/>
        </w:rPr>
      </w:pPr>
      <w:r w:rsidRPr="0083769F">
        <w:rPr>
          <w:rFonts w:ascii="Arial" w:hAnsi="Arial" w:cs="Arial"/>
          <w:sz w:val="20"/>
          <w:szCs w:val="20"/>
        </w:rPr>
        <w:t xml:space="preserve">Analyse the sample as instructed in the Quality Control section of the Operator's Manual for your instrument. </w:t>
      </w:r>
    </w:p>
    <w:p w:rsidR="003929CF" w:rsidRPr="003929CF" w:rsidRDefault="003929CF" w:rsidP="003929CF">
      <w:pPr>
        <w:pStyle w:val="Default"/>
        <w:numPr>
          <w:ilvl w:val="0"/>
          <w:numId w:val="38"/>
        </w:numPr>
        <w:spacing w:line="360" w:lineRule="auto"/>
        <w:rPr>
          <w:rFonts w:ascii="Arial" w:hAnsi="Arial" w:cs="Arial"/>
          <w:sz w:val="20"/>
          <w:szCs w:val="20"/>
        </w:rPr>
      </w:pPr>
      <w:r w:rsidRPr="0083769F">
        <w:rPr>
          <w:rFonts w:ascii="Arial" w:hAnsi="Arial" w:cs="Arial"/>
          <w:sz w:val="20"/>
          <w:szCs w:val="20"/>
        </w:rPr>
        <w:t>This product should be sampled as QC material.</w:t>
      </w:r>
    </w:p>
    <w:p w:rsidR="00A7441A" w:rsidRPr="0083769F" w:rsidRDefault="00A7441A" w:rsidP="00F670E8">
      <w:pPr>
        <w:spacing w:line="360" w:lineRule="auto"/>
        <w:rPr>
          <w:rFonts w:ascii="Arial" w:hAnsi="Arial" w:cs="Arial"/>
          <w:b/>
          <w:color w:val="000000"/>
          <w:sz w:val="20"/>
          <w:szCs w:val="20"/>
        </w:rPr>
      </w:pPr>
    </w:p>
    <w:p w:rsidR="00A7441A" w:rsidRPr="0083769F" w:rsidRDefault="00A7441A" w:rsidP="00F670E8">
      <w:pPr>
        <w:pStyle w:val="Default"/>
        <w:numPr>
          <w:ilvl w:val="0"/>
          <w:numId w:val="37"/>
        </w:numPr>
        <w:spacing w:line="360" w:lineRule="auto"/>
        <w:rPr>
          <w:rFonts w:ascii="Arial" w:hAnsi="Arial" w:cs="Arial"/>
          <w:b/>
          <w:bCs/>
          <w:sz w:val="20"/>
          <w:szCs w:val="20"/>
        </w:rPr>
      </w:pPr>
      <w:r w:rsidRPr="0083769F">
        <w:rPr>
          <w:rFonts w:ascii="Arial" w:hAnsi="Arial" w:cs="Arial"/>
          <w:b/>
          <w:bCs/>
          <w:sz w:val="20"/>
          <w:szCs w:val="20"/>
        </w:rPr>
        <w:t>ADVIA 2120i</w:t>
      </w:r>
    </w:p>
    <w:p w:rsidR="00A7441A" w:rsidRPr="0083769F" w:rsidRDefault="00A7441A" w:rsidP="00F670E8">
      <w:pPr>
        <w:spacing w:line="360" w:lineRule="auto"/>
        <w:ind w:left="709"/>
        <w:rPr>
          <w:rFonts w:ascii="Arial" w:hAnsi="Arial" w:cs="Arial"/>
          <w:b/>
          <w:color w:val="000000"/>
          <w:sz w:val="20"/>
          <w:szCs w:val="20"/>
        </w:rPr>
      </w:pPr>
      <w:r w:rsidRPr="0083769F">
        <w:rPr>
          <w:rFonts w:ascii="Arial" w:hAnsi="Arial" w:cs="Arial"/>
          <w:color w:val="000000"/>
          <w:sz w:val="20"/>
          <w:szCs w:val="20"/>
        </w:rPr>
        <w:t>Whole blood material compatible with Advia instruments.</w:t>
      </w:r>
    </w:p>
    <w:p w:rsidR="00A7441A" w:rsidRDefault="00A7441A" w:rsidP="00F670E8">
      <w:pPr>
        <w:pStyle w:val="Default"/>
        <w:numPr>
          <w:ilvl w:val="0"/>
          <w:numId w:val="39"/>
        </w:numPr>
        <w:spacing w:line="360" w:lineRule="auto"/>
        <w:rPr>
          <w:rFonts w:ascii="Arial" w:hAnsi="Arial" w:cs="Arial"/>
          <w:sz w:val="20"/>
          <w:szCs w:val="20"/>
        </w:rPr>
      </w:pPr>
      <w:r w:rsidRPr="0083769F">
        <w:rPr>
          <w:rFonts w:ascii="Arial" w:hAnsi="Arial" w:cs="Arial"/>
          <w:sz w:val="20"/>
          <w:szCs w:val="20"/>
        </w:rPr>
        <w:t xml:space="preserve">Analyse the sample as instructed in the Quality Control section of the Operator's Manual for your instrument. </w:t>
      </w:r>
    </w:p>
    <w:p w:rsidR="003929CF" w:rsidRPr="0083769F" w:rsidRDefault="003929CF" w:rsidP="003929CF">
      <w:pPr>
        <w:pStyle w:val="Default"/>
        <w:numPr>
          <w:ilvl w:val="0"/>
          <w:numId w:val="39"/>
        </w:numPr>
        <w:spacing w:line="360" w:lineRule="auto"/>
        <w:rPr>
          <w:rFonts w:ascii="Arial" w:hAnsi="Arial" w:cs="Arial"/>
          <w:sz w:val="20"/>
          <w:szCs w:val="20"/>
        </w:rPr>
      </w:pPr>
      <w:r w:rsidRPr="0083769F">
        <w:rPr>
          <w:rFonts w:ascii="Arial" w:hAnsi="Arial" w:cs="Arial"/>
          <w:sz w:val="20"/>
          <w:szCs w:val="20"/>
        </w:rPr>
        <w:t>This product should be sampled as QC material.</w:t>
      </w:r>
    </w:p>
    <w:p w:rsidR="00A7441A" w:rsidRPr="0083769F" w:rsidRDefault="00A7441A" w:rsidP="00F670E8">
      <w:pPr>
        <w:spacing w:line="360" w:lineRule="auto"/>
        <w:rPr>
          <w:rFonts w:ascii="Arial" w:hAnsi="Arial" w:cs="Arial"/>
          <w:b/>
          <w:color w:val="000000"/>
          <w:sz w:val="20"/>
          <w:szCs w:val="20"/>
        </w:rPr>
      </w:pPr>
    </w:p>
    <w:p w:rsidR="00A7441A" w:rsidRPr="0083769F" w:rsidRDefault="00A7441A" w:rsidP="00F670E8">
      <w:pPr>
        <w:pStyle w:val="Default"/>
        <w:numPr>
          <w:ilvl w:val="0"/>
          <w:numId w:val="37"/>
        </w:numPr>
        <w:spacing w:line="360" w:lineRule="auto"/>
        <w:rPr>
          <w:rFonts w:ascii="Arial" w:hAnsi="Arial" w:cs="Arial"/>
          <w:b/>
          <w:bCs/>
          <w:sz w:val="20"/>
          <w:szCs w:val="20"/>
        </w:rPr>
      </w:pPr>
      <w:r w:rsidRPr="0083769F">
        <w:rPr>
          <w:rFonts w:ascii="Arial" w:hAnsi="Arial" w:cs="Arial"/>
          <w:b/>
          <w:bCs/>
          <w:sz w:val="20"/>
          <w:szCs w:val="20"/>
        </w:rPr>
        <w:t>SYSMEX</w:t>
      </w:r>
    </w:p>
    <w:p w:rsidR="00A7441A" w:rsidRPr="0083769F" w:rsidRDefault="00A7441A" w:rsidP="00F670E8">
      <w:pPr>
        <w:spacing w:line="360" w:lineRule="auto"/>
        <w:ind w:left="709"/>
        <w:rPr>
          <w:rFonts w:ascii="Arial" w:hAnsi="Arial" w:cs="Arial"/>
          <w:b/>
          <w:color w:val="000000"/>
          <w:sz w:val="20"/>
          <w:szCs w:val="20"/>
        </w:rPr>
      </w:pPr>
      <w:r w:rsidRPr="0083769F">
        <w:rPr>
          <w:rFonts w:ascii="Arial" w:hAnsi="Arial" w:cs="Arial"/>
          <w:color w:val="000000"/>
          <w:sz w:val="20"/>
          <w:szCs w:val="20"/>
        </w:rPr>
        <w:t>Whole blood material compatible with Sysmex instruments.</w:t>
      </w:r>
    </w:p>
    <w:p w:rsidR="00A7441A" w:rsidRPr="0083769F" w:rsidRDefault="00A7441A" w:rsidP="00F670E8">
      <w:pPr>
        <w:pStyle w:val="Default"/>
        <w:numPr>
          <w:ilvl w:val="0"/>
          <w:numId w:val="40"/>
        </w:numPr>
        <w:spacing w:line="360" w:lineRule="auto"/>
        <w:rPr>
          <w:rFonts w:ascii="Arial" w:hAnsi="Arial" w:cs="Arial"/>
          <w:sz w:val="20"/>
          <w:szCs w:val="20"/>
        </w:rPr>
      </w:pPr>
      <w:r w:rsidRPr="0083769F">
        <w:rPr>
          <w:rFonts w:ascii="Arial" w:hAnsi="Arial" w:cs="Arial"/>
          <w:sz w:val="20"/>
          <w:szCs w:val="20"/>
        </w:rPr>
        <w:lastRenderedPageBreak/>
        <w:t xml:space="preserve">Analyse the sample as instructed in the Quality Control section of the Operator's Manual for your instrument. </w:t>
      </w:r>
    </w:p>
    <w:p w:rsidR="00A7441A" w:rsidRPr="0083769F" w:rsidRDefault="00A7441A" w:rsidP="00F670E8">
      <w:pPr>
        <w:pStyle w:val="Default"/>
        <w:numPr>
          <w:ilvl w:val="0"/>
          <w:numId w:val="40"/>
        </w:numPr>
        <w:spacing w:line="360" w:lineRule="auto"/>
        <w:rPr>
          <w:rFonts w:ascii="Arial" w:hAnsi="Arial" w:cs="Arial"/>
          <w:sz w:val="20"/>
          <w:szCs w:val="20"/>
        </w:rPr>
      </w:pPr>
      <w:r w:rsidRPr="0083769F">
        <w:rPr>
          <w:rFonts w:ascii="Arial" w:hAnsi="Arial" w:cs="Arial"/>
          <w:sz w:val="20"/>
          <w:szCs w:val="20"/>
        </w:rPr>
        <w:t>This product should be sampled as QC material.</w:t>
      </w:r>
    </w:p>
    <w:p w:rsidR="00A7441A" w:rsidRDefault="00A7441A" w:rsidP="00F670E8">
      <w:pPr>
        <w:pStyle w:val="Default"/>
        <w:numPr>
          <w:ilvl w:val="0"/>
          <w:numId w:val="40"/>
        </w:numPr>
        <w:spacing w:line="360" w:lineRule="auto"/>
        <w:rPr>
          <w:rFonts w:ascii="Arial" w:hAnsi="Arial" w:cs="Arial"/>
          <w:sz w:val="20"/>
          <w:szCs w:val="20"/>
        </w:rPr>
      </w:pPr>
      <w:r w:rsidRPr="0083769F">
        <w:rPr>
          <w:rFonts w:ascii="Arial" w:hAnsi="Arial" w:cs="Arial"/>
          <w:sz w:val="20"/>
          <w:szCs w:val="20"/>
        </w:rPr>
        <w:t>Sysmex XE/XT: Please report your impedance count for all parameters.</w:t>
      </w:r>
    </w:p>
    <w:p w:rsidR="00C2308D" w:rsidRDefault="00C2308D" w:rsidP="00C2308D">
      <w:pPr>
        <w:pStyle w:val="Default"/>
        <w:spacing w:line="360" w:lineRule="auto"/>
        <w:rPr>
          <w:rFonts w:ascii="Arial" w:hAnsi="Arial" w:cs="Arial"/>
          <w:sz w:val="20"/>
          <w:szCs w:val="20"/>
        </w:rPr>
      </w:pPr>
    </w:p>
    <w:p w:rsidR="00C2308D" w:rsidRDefault="00C2308D" w:rsidP="00C2308D">
      <w:pPr>
        <w:pStyle w:val="Default"/>
        <w:numPr>
          <w:ilvl w:val="0"/>
          <w:numId w:val="37"/>
        </w:numPr>
        <w:spacing w:line="360" w:lineRule="auto"/>
        <w:rPr>
          <w:rFonts w:ascii="Arial" w:hAnsi="Arial" w:cs="Arial"/>
          <w:sz w:val="20"/>
          <w:szCs w:val="20"/>
        </w:rPr>
      </w:pPr>
      <w:r>
        <w:rPr>
          <w:rFonts w:ascii="Arial" w:hAnsi="Arial" w:cs="Arial"/>
          <w:sz w:val="20"/>
          <w:szCs w:val="20"/>
        </w:rPr>
        <w:t>MINDRAY</w:t>
      </w:r>
    </w:p>
    <w:p w:rsidR="00C2308D" w:rsidRPr="0083769F" w:rsidRDefault="00C2308D" w:rsidP="00C2308D">
      <w:pPr>
        <w:spacing w:line="360" w:lineRule="auto"/>
        <w:ind w:left="709"/>
        <w:rPr>
          <w:rFonts w:ascii="Arial" w:hAnsi="Arial" w:cs="Arial"/>
          <w:b/>
          <w:color w:val="000000"/>
          <w:sz w:val="20"/>
          <w:szCs w:val="20"/>
        </w:rPr>
      </w:pPr>
      <w:r w:rsidRPr="0083769F">
        <w:rPr>
          <w:rFonts w:ascii="Arial" w:hAnsi="Arial" w:cs="Arial"/>
          <w:color w:val="000000"/>
          <w:sz w:val="20"/>
          <w:szCs w:val="20"/>
        </w:rPr>
        <w:t xml:space="preserve">Whole blood material compatible with </w:t>
      </w:r>
      <w:r w:rsidR="00FC57A1">
        <w:rPr>
          <w:rFonts w:ascii="Arial" w:hAnsi="Arial" w:cs="Arial"/>
          <w:color w:val="000000"/>
          <w:sz w:val="20"/>
          <w:szCs w:val="20"/>
        </w:rPr>
        <w:t xml:space="preserve">Mindray </w:t>
      </w:r>
      <w:r w:rsidRPr="0083769F">
        <w:rPr>
          <w:rFonts w:ascii="Arial" w:hAnsi="Arial" w:cs="Arial"/>
          <w:color w:val="000000"/>
          <w:sz w:val="20"/>
          <w:szCs w:val="20"/>
        </w:rPr>
        <w:t>instruments.</w:t>
      </w:r>
    </w:p>
    <w:p w:rsidR="00C2308D" w:rsidRPr="0083769F" w:rsidRDefault="00C2308D" w:rsidP="00C2308D">
      <w:pPr>
        <w:pStyle w:val="Default"/>
        <w:numPr>
          <w:ilvl w:val="0"/>
          <w:numId w:val="42"/>
        </w:numPr>
        <w:spacing w:line="360" w:lineRule="auto"/>
        <w:rPr>
          <w:rFonts w:ascii="Arial" w:hAnsi="Arial" w:cs="Arial"/>
          <w:sz w:val="20"/>
          <w:szCs w:val="20"/>
        </w:rPr>
      </w:pPr>
      <w:r w:rsidRPr="0083769F">
        <w:rPr>
          <w:rFonts w:ascii="Arial" w:hAnsi="Arial" w:cs="Arial"/>
          <w:sz w:val="20"/>
          <w:szCs w:val="20"/>
        </w:rPr>
        <w:t xml:space="preserve">Analyse the sample as instructed in the Quality Control section of the Operator's Manual for your instrument. </w:t>
      </w:r>
    </w:p>
    <w:p w:rsidR="00C2308D" w:rsidRPr="0083769F" w:rsidRDefault="00C2308D" w:rsidP="00C2308D">
      <w:pPr>
        <w:pStyle w:val="Default"/>
        <w:numPr>
          <w:ilvl w:val="0"/>
          <w:numId w:val="42"/>
        </w:numPr>
        <w:spacing w:line="360" w:lineRule="auto"/>
        <w:rPr>
          <w:rFonts w:ascii="Arial" w:hAnsi="Arial" w:cs="Arial"/>
          <w:sz w:val="20"/>
          <w:szCs w:val="20"/>
        </w:rPr>
      </w:pPr>
      <w:r w:rsidRPr="0083769F">
        <w:rPr>
          <w:rFonts w:ascii="Arial" w:hAnsi="Arial" w:cs="Arial"/>
          <w:sz w:val="20"/>
          <w:szCs w:val="20"/>
        </w:rPr>
        <w:t>This product should be sampled as QC material.</w:t>
      </w:r>
    </w:p>
    <w:p w:rsidR="00C2308D" w:rsidRPr="0083769F" w:rsidRDefault="00C2308D" w:rsidP="00C2308D">
      <w:pPr>
        <w:pStyle w:val="Default"/>
        <w:spacing w:line="360" w:lineRule="auto"/>
        <w:ind w:left="720"/>
        <w:rPr>
          <w:rFonts w:ascii="Arial" w:hAnsi="Arial" w:cs="Arial"/>
          <w:sz w:val="20"/>
          <w:szCs w:val="20"/>
        </w:rPr>
      </w:pPr>
    </w:p>
    <w:p w:rsidR="00A7441A" w:rsidRPr="0083769F" w:rsidRDefault="00A7441A" w:rsidP="00F670E8">
      <w:pPr>
        <w:pStyle w:val="ListParagraph"/>
        <w:spacing w:after="0" w:line="360" w:lineRule="auto"/>
        <w:ind w:left="1080"/>
        <w:rPr>
          <w:rFonts w:ascii="Arial" w:hAnsi="Arial" w:cs="Arial"/>
          <w:sz w:val="20"/>
          <w:szCs w:val="20"/>
        </w:rPr>
      </w:pPr>
    </w:p>
    <w:p w:rsidR="00A7441A" w:rsidRPr="0083769F" w:rsidRDefault="00A7441A" w:rsidP="00C2308D">
      <w:pPr>
        <w:pStyle w:val="ListParagraph"/>
        <w:spacing w:after="0" w:line="360" w:lineRule="auto"/>
        <w:jc w:val="both"/>
        <w:rPr>
          <w:rFonts w:ascii="Arial" w:hAnsi="Arial" w:cs="Arial"/>
          <w:sz w:val="20"/>
          <w:szCs w:val="20"/>
        </w:rPr>
      </w:pPr>
      <w:r w:rsidRPr="0083769F">
        <w:rPr>
          <w:rFonts w:ascii="Arial" w:hAnsi="Arial" w:cs="Arial"/>
          <w:b/>
          <w:sz w:val="20"/>
          <w:szCs w:val="20"/>
        </w:rPr>
        <w:t>Result sheet</w:t>
      </w:r>
    </w:p>
    <w:p w:rsidR="00A7441A" w:rsidRPr="0083769F" w:rsidRDefault="00A7441A" w:rsidP="00F670E8">
      <w:pPr>
        <w:pStyle w:val="ListParagraph"/>
        <w:numPr>
          <w:ilvl w:val="0"/>
          <w:numId w:val="34"/>
        </w:numPr>
        <w:spacing w:after="0" w:line="360" w:lineRule="auto"/>
        <w:jc w:val="both"/>
        <w:rPr>
          <w:rFonts w:ascii="Arial" w:hAnsi="Arial" w:cs="Arial"/>
          <w:sz w:val="20"/>
          <w:szCs w:val="20"/>
        </w:rPr>
      </w:pPr>
      <w:r w:rsidRPr="0083769F">
        <w:rPr>
          <w:rFonts w:ascii="Arial" w:hAnsi="Arial" w:cs="Arial"/>
          <w:sz w:val="20"/>
          <w:szCs w:val="20"/>
        </w:rPr>
        <w:t>The participant’s laboratory name and unique participant code number (and sub code number/letter if registered more than one instrument) must be written in.</w:t>
      </w:r>
    </w:p>
    <w:p w:rsidR="00A7441A" w:rsidRPr="0083769F" w:rsidRDefault="00A7441A" w:rsidP="00F670E8">
      <w:pPr>
        <w:pStyle w:val="ListParagraph"/>
        <w:numPr>
          <w:ilvl w:val="0"/>
          <w:numId w:val="34"/>
        </w:numPr>
        <w:spacing w:after="0" w:line="360" w:lineRule="auto"/>
        <w:jc w:val="both"/>
        <w:rPr>
          <w:rFonts w:ascii="Arial" w:hAnsi="Arial" w:cs="Arial"/>
          <w:sz w:val="20"/>
          <w:szCs w:val="20"/>
        </w:rPr>
      </w:pPr>
      <w:r w:rsidRPr="0083769F">
        <w:rPr>
          <w:rFonts w:ascii="Arial" w:hAnsi="Arial" w:cs="Arial"/>
          <w:sz w:val="20"/>
          <w:szCs w:val="20"/>
        </w:rPr>
        <w:t>The survey number must be written in.</w:t>
      </w:r>
    </w:p>
    <w:p w:rsidR="00A7441A" w:rsidRPr="0083769F" w:rsidRDefault="00A7441A" w:rsidP="00F670E8">
      <w:pPr>
        <w:pStyle w:val="ListParagraph"/>
        <w:numPr>
          <w:ilvl w:val="0"/>
          <w:numId w:val="34"/>
        </w:numPr>
        <w:spacing w:after="0" w:line="360" w:lineRule="auto"/>
        <w:jc w:val="both"/>
        <w:rPr>
          <w:rFonts w:ascii="Arial" w:hAnsi="Arial" w:cs="Arial"/>
          <w:sz w:val="20"/>
          <w:szCs w:val="20"/>
        </w:rPr>
      </w:pPr>
      <w:r w:rsidRPr="0083769F">
        <w:rPr>
          <w:rFonts w:ascii="Arial" w:hAnsi="Arial" w:cs="Arial"/>
          <w:sz w:val="20"/>
          <w:szCs w:val="20"/>
        </w:rPr>
        <w:t>The instrument name and serial number must be written in.</w:t>
      </w:r>
    </w:p>
    <w:p w:rsidR="00A7441A" w:rsidRPr="0083769F" w:rsidRDefault="00A7441A" w:rsidP="00F670E8">
      <w:pPr>
        <w:pStyle w:val="ListParagraph"/>
        <w:numPr>
          <w:ilvl w:val="0"/>
          <w:numId w:val="34"/>
        </w:numPr>
        <w:spacing w:after="0" w:line="360" w:lineRule="auto"/>
        <w:jc w:val="both"/>
        <w:rPr>
          <w:rFonts w:ascii="Arial" w:hAnsi="Arial" w:cs="Arial"/>
          <w:sz w:val="20"/>
          <w:szCs w:val="20"/>
        </w:rPr>
      </w:pPr>
      <w:r w:rsidRPr="0083769F">
        <w:rPr>
          <w:rFonts w:ascii="Arial" w:hAnsi="Arial" w:cs="Arial"/>
          <w:sz w:val="20"/>
          <w:szCs w:val="20"/>
        </w:rPr>
        <w:t>Information required from participants includes:</w:t>
      </w:r>
    </w:p>
    <w:p w:rsidR="00A7441A" w:rsidRPr="0083769F" w:rsidRDefault="00A7441A" w:rsidP="00F670E8">
      <w:pPr>
        <w:pStyle w:val="ListParagraph"/>
        <w:numPr>
          <w:ilvl w:val="0"/>
          <w:numId w:val="32"/>
        </w:numPr>
        <w:spacing w:after="0" w:line="360" w:lineRule="auto"/>
        <w:rPr>
          <w:rFonts w:ascii="Arial" w:hAnsi="Arial" w:cs="Arial"/>
          <w:sz w:val="20"/>
          <w:szCs w:val="20"/>
        </w:rPr>
      </w:pPr>
      <w:r w:rsidRPr="0083769F">
        <w:rPr>
          <w:rFonts w:ascii="Arial" w:hAnsi="Arial" w:cs="Arial"/>
          <w:sz w:val="20"/>
          <w:szCs w:val="20"/>
        </w:rPr>
        <w:t>Results absolute counts and lymphocyte percentages</w:t>
      </w:r>
    </w:p>
    <w:p w:rsidR="00A7441A" w:rsidRPr="0083769F" w:rsidRDefault="00A7441A" w:rsidP="00F670E8">
      <w:pPr>
        <w:pStyle w:val="ListParagraph"/>
        <w:numPr>
          <w:ilvl w:val="0"/>
          <w:numId w:val="32"/>
        </w:numPr>
        <w:spacing w:after="0" w:line="360" w:lineRule="auto"/>
        <w:rPr>
          <w:rFonts w:ascii="Arial" w:hAnsi="Arial" w:cs="Arial"/>
          <w:sz w:val="20"/>
          <w:szCs w:val="20"/>
        </w:rPr>
      </w:pPr>
      <w:r w:rsidRPr="0083769F">
        <w:rPr>
          <w:rFonts w:ascii="Arial" w:hAnsi="Arial" w:cs="Arial"/>
          <w:sz w:val="20"/>
          <w:szCs w:val="20"/>
        </w:rPr>
        <w:t>Units of measure</w:t>
      </w:r>
    </w:p>
    <w:p w:rsidR="00A7441A" w:rsidRPr="0083769F" w:rsidRDefault="00A7441A" w:rsidP="00F670E8">
      <w:pPr>
        <w:pStyle w:val="ListParagraph"/>
        <w:numPr>
          <w:ilvl w:val="0"/>
          <w:numId w:val="32"/>
        </w:numPr>
        <w:spacing w:after="0" w:line="360" w:lineRule="auto"/>
        <w:rPr>
          <w:rFonts w:ascii="Arial" w:hAnsi="Arial" w:cs="Arial"/>
          <w:sz w:val="20"/>
          <w:szCs w:val="20"/>
        </w:rPr>
      </w:pPr>
      <w:r w:rsidRPr="0083769F">
        <w:rPr>
          <w:rFonts w:ascii="Arial" w:hAnsi="Arial" w:cs="Arial"/>
          <w:sz w:val="20"/>
          <w:szCs w:val="20"/>
        </w:rPr>
        <w:t>Interpretation</w:t>
      </w:r>
    </w:p>
    <w:p w:rsidR="00A7441A" w:rsidRPr="0083769F" w:rsidRDefault="00A7441A" w:rsidP="00F670E8">
      <w:pPr>
        <w:pStyle w:val="ListParagraph"/>
        <w:numPr>
          <w:ilvl w:val="0"/>
          <w:numId w:val="32"/>
        </w:numPr>
        <w:spacing w:after="0" w:line="360" w:lineRule="auto"/>
        <w:rPr>
          <w:rFonts w:ascii="Arial" w:hAnsi="Arial" w:cs="Arial"/>
          <w:sz w:val="20"/>
          <w:szCs w:val="20"/>
        </w:rPr>
      </w:pPr>
      <w:r w:rsidRPr="0083769F">
        <w:rPr>
          <w:rFonts w:ascii="Arial" w:hAnsi="Arial" w:cs="Arial"/>
          <w:sz w:val="20"/>
          <w:szCs w:val="20"/>
        </w:rPr>
        <w:t>Printout of raw data</w:t>
      </w:r>
    </w:p>
    <w:p w:rsidR="00A7441A" w:rsidRPr="0083769F" w:rsidRDefault="00A7441A" w:rsidP="00F670E8">
      <w:pPr>
        <w:pStyle w:val="ListParagraph"/>
        <w:numPr>
          <w:ilvl w:val="0"/>
          <w:numId w:val="32"/>
        </w:numPr>
        <w:spacing w:after="0" w:line="360" w:lineRule="auto"/>
        <w:rPr>
          <w:rFonts w:ascii="Arial" w:hAnsi="Arial" w:cs="Arial"/>
          <w:sz w:val="20"/>
          <w:szCs w:val="20"/>
        </w:rPr>
      </w:pPr>
      <w:r w:rsidRPr="0083769F">
        <w:rPr>
          <w:rFonts w:ascii="Arial" w:hAnsi="Arial" w:cs="Arial"/>
          <w:sz w:val="20"/>
          <w:szCs w:val="20"/>
        </w:rPr>
        <w:t>Name, signature, telephone number and email address</w:t>
      </w:r>
    </w:p>
    <w:p w:rsidR="00A7441A" w:rsidRPr="0083769F" w:rsidRDefault="00A7441A" w:rsidP="00F670E8">
      <w:pPr>
        <w:spacing w:line="360" w:lineRule="auto"/>
        <w:rPr>
          <w:rFonts w:ascii="Arial" w:hAnsi="Arial" w:cs="Arial"/>
          <w:b/>
          <w:sz w:val="20"/>
          <w:szCs w:val="20"/>
        </w:rPr>
      </w:pPr>
    </w:p>
    <w:p w:rsidR="00A7441A" w:rsidRPr="0083769F" w:rsidRDefault="00A7441A" w:rsidP="00F670E8">
      <w:pPr>
        <w:spacing w:line="360" w:lineRule="auto"/>
        <w:rPr>
          <w:rFonts w:ascii="Arial" w:hAnsi="Arial" w:cs="Arial"/>
          <w:b/>
          <w:sz w:val="20"/>
          <w:szCs w:val="20"/>
        </w:rPr>
      </w:pPr>
      <w:r w:rsidRPr="0083769F">
        <w:rPr>
          <w:rFonts w:ascii="Arial" w:hAnsi="Arial" w:cs="Arial"/>
          <w:b/>
          <w:sz w:val="20"/>
          <w:szCs w:val="20"/>
        </w:rPr>
        <w:t xml:space="preserve">G. </w:t>
      </w:r>
      <w:r w:rsidR="00F670E8">
        <w:rPr>
          <w:rFonts w:ascii="Arial" w:hAnsi="Arial" w:cs="Arial"/>
          <w:b/>
          <w:sz w:val="20"/>
          <w:szCs w:val="20"/>
        </w:rPr>
        <w:t xml:space="preserve"> </w:t>
      </w:r>
      <w:r w:rsidRPr="0083769F">
        <w:rPr>
          <w:rFonts w:ascii="Arial" w:hAnsi="Arial" w:cs="Arial"/>
          <w:b/>
          <w:sz w:val="20"/>
          <w:szCs w:val="20"/>
        </w:rPr>
        <w:t>Return of results</w:t>
      </w:r>
    </w:p>
    <w:p w:rsidR="00A7441A" w:rsidRPr="0083769F" w:rsidRDefault="00A7441A" w:rsidP="00F670E8">
      <w:pPr>
        <w:spacing w:line="360" w:lineRule="auto"/>
        <w:jc w:val="both"/>
        <w:rPr>
          <w:rFonts w:ascii="Arial" w:hAnsi="Arial" w:cs="Arial"/>
          <w:sz w:val="20"/>
          <w:szCs w:val="20"/>
        </w:rPr>
      </w:pPr>
      <w:r w:rsidRPr="0083769F">
        <w:rPr>
          <w:rFonts w:ascii="Arial" w:hAnsi="Arial" w:cs="Arial"/>
          <w:b/>
          <w:sz w:val="20"/>
          <w:szCs w:val="20"/>
        </w:rPr>
        <w:t>Fax or email replies to:</w:t>
      </w:r>
      <w:r w:rsidRPr="0083769F">
        <w:rPr>
          <w:rFonts w:ascii="Arial" w:hAnsi="Arial" w:cs="Arial"/>
          <w:b/>
          <w:sz w:val="20"/>
          <w:szCs w:val="20"/>
        </w:rPr>
        <w:tab/>
      </w:r>
      <w:r w:rsidRPr="0083769F">
        <w:rPr>
          <w:rFonts w:ascii="Arial" w:hAnsi="Arial" w:cs="Arial"/>
          <w:b/>
          <w:sz w:val="20"/>
          <w:szCs w:val="20"/>
        </w:rPr>
        <w:tab/>
      </w:r>
      <w:r w:rsidRPr="0083769F">
        <w:rPr>
          <w:rFonts w:ascii="Arial" w:hAnsi="Arial" w:cs="Arial"/>
          <w:b/>
          <w:sz w:val="20"/>
          <w:szCs w:val="20"/>
        </w:rPr>
        <w:tab/>
      </w:r>
      <w:r w:rsidRPr="0083769F">
        <w:rPr>
          <w:rFonts w:ascii="Arial" w:hAnsi="Arial" w:cs="Arial"/>
          <w:b/>
          <w:sz w:val="20"/>
          <w:szCs w:val="20"/>
        </w:rPr>
        <w:tab/>
      </w:r>
      <w:r w:rsidRPr="0083769F">
        <w:rPr>
          <w:rFonts w:ascii="Arial" w:hAnsi="Arial" w:cs="Arial"/>
          <w:b/>
          <w:sz w:val="20"/>
          <w:szCs w:val="20"/>
        </w:rPr>
        <w:tab/>
      </w:r>
      <w:r w:rsidRPr="0083769F">
        <w:rPr>
          <w:rFonts w:ascii="Arial" w:hAnsi="Arial" w:cs="Arial"/>
          <w:b/>
          <w:sz w:val="20"/>
          <w:szCs w:val="20"/>
        </w:rPr>
        <w:tab/>
      </w:r>
      <w:r w:rsidRPr="0083769F">
        <w:rPr>
          <w:rFonts w:ascii="Arial" w:hAnsi="Arial" w:cs="Arial"/>
          <w:sz w:val="20"/>
          <w:szCs w:val="20"/>
        </w:rPr>
        <w:tab/>
      </w:r>
    </w:p>
    <w:p w:rsidR="00A7441A" w:rsidRPr="0083769F" w:rsidRDefault="00FB7E1F" w:rsidP="00F670E8">
      <w:pPr>
        <w:spacing w:line="360" w:lineRule="auto"/>
        <w:jc w:val="both"/>
        <w:rPr>
          <w:rFonts w:ascii="Arial" w:hAnsi="Arial" w:cs="Arial"/>
          <w:color w:val="FF0000"/>
          <w:sz w:val="20"/>
          <w:szCs w:val="20"/>
          <w:lang w:val="fr-FR"/>
        </w:rPr>
      </w:pPr>
      <w:r>
        <w:rPr>
          <w:rFonts w:ascii="Arial" w:hAnsi="Arial" w:cs="Arial"/>
          <w:sz w:val="20"/>
          <w:szCs w:val="20"/>
        </w:rPr>
        <w:t>Thokozile Zulu</w:t>
      </w:r>
      <w:r w:rsidR="00A7441A" w:rsidRPr="0083769F">
        <w:rPr>
          <w:rFonts w:ascii="Arial" w:hAnsi="Arial" w:cs="Arial"/>
          <w:sz w:val="20"/>
          <w:szCs w:val="20"/>
        </w:rPr>
        <w:t>-PTS manager</w:t>
      </w:r>
      <w:r w:rsidR="00A7441A" w:rsidRPr="0083769F">
        <w:rPr>
          <w:rFonts w:ascii="Arial" w:hAnsi="Arial" w:cs="Arial"/>
          <w:sz w:val="20"/>
          <w:szCs w:val="20"/>
        </w:rPr>
        <w:tab/>
      </w:r>
      <w:r w:rsidR="00A7441A" w:rsidRPr="0083769F">
        <w:rPr>
          <w:rFonts w:ascii="Arial" w:hAnsi="Arial" w:cs="Arial"/>
          <w:color w:val="FF0000"/>
          <w:sz w:val="20"/>
          <w:szCs w:val="20"/>
          <w:lang w:val="fr-FR"/>
        </w:rPr>
        <w:t xml:space="preserve"> </w:t>
      </w:r>
    </w:p>
    <w:p w:rsidR="00A7441A" w:rsidRPr="0083769F" w:rsidRDefault="00A7441A" w:rsidP="00F670E8">
      <w:pPr>
        <w:spacing w:line="360" w:lineRule="auto"/>
        <w:contextualSpacing/>
        <w:jc w:val="both"/>
        <w:rPr>
          <w:rFonts w:ascii="Arial" w:hAnsi="Arial" w:cs="Arial"/>
          <w:color w:val="FF0000"/>
          <w:sz w:val="20"/>
          <w:szCs w:val="20"/>
          <w:lang w:val="fr-FR"/>
        </w:rPr>
      </w:pPr>
      <w:r w:rsidRPr="0083769F">
        <w:rPr>
          <w:rFonts w:ascii="Arial" w:hAnsi="Arial" w:cs="Arial"/>
          <w:sz w:val="20"/>
          <w:szCs w:val="20"/>
          <w:lang w:val="fr-FR"/>
        </w:rPr>
        <w:t>E-mail:</w:t>
      </w:r>
      <w:r w:rsidRPr="0083769F">
        <w:rPr>
          <w:rFonts w:ascii="Arial" w:hAnsi="Arial" w:cs="Arial"/>
          <w:sz w:val="20"/>
          <w:szCs w:val="20"/>
          <w:lang w:val="fr-FR"/>
        </w:rPr>
        <w:tab/>
      </w:r>
      <w:hyperlink r:id="rId10" w:history="1">
        <w:r w:rsidRPr="0083769F">
          <w:rPr>
            <w:rStyle w:val="Hyperlink"/>
            <w:rFonts w:ascii="Arial" w:hAnsi="Arial" w:cs="Arial"/>
            <w:b/>
            <w:sz w:val="20"/>
            <w:szCs w:val="20"/>
          </w:rPr>
          <w:t>cd4pts@nhls.ac.za</w:t>
        </w:r>
      </w:hyperlink>
      <w:r w:rsidRPr="0083769F">
        <w:rPr>
          <w:rFonts w:ascii="Arial" w:hAnsi="Arial" w:cs="Arial"/>
          <w:sz w:val="20"/>
          <w:szCs w:val="20"/>
        </w:rPr>
        <w:t xml:space="preserve"> / </w:t>
      </w:r>
      <w:r w:rsidRPr="0083769F">
        <w:rPr>
          <w:rFonts w:ascii="Arial" w:hAnsi="Arial" w:cs="Arial"/>
          <w:color w:val="FF0000"/>
          <w:sz w:val="20"/>
          <w:szCs w:val="20"/>
          <w:lang w:val="fr-FR"/>
        </w:rPr>
        <w:t xml:space="preserve">Fax: +27-11 - 386 </w:t>
      </w:r>
      <w:r w:rsidR="00FB7E1F">
        <w:rPr>
          <w:rFonts w:ascii="Arial" w:hAnsi="Arial" w:cs="Arial"/>
          <w:color w:val="FF0000"/>
          <w:sz w:val="20"/>
          <w:szCs w:val="20"/>
          <w:lang w:val="fr-FR"/>
        </w:rPr>
        <w:t>0582</w:t>
      </w:r>
      <w:r w:rsidRPr="0083769F">
        <w:rPr>
          <w:rFonts w:ascii="Arial" w:hAnsi="Arial" w:cs="Arial"/>
          <w:color w:val="FF0000"/>
          <w:sz w:val="20"/>
          <w:szCs w:val="20"/>
          <w:lang w:val="fr-FR"/>
        </w:rPr>
        <w:t xml:space="preserve">   </w:t>
      </w:r>
    </w:p>
    <w:p w:rsidR="00A7441A" w:rsidRPr="0083769F" w:rsidRDefault="00A7441A" w:rsidP="00A7441A">
      <w:pPr>
        <w:rPr>
          <w:rFonts w:ascii="Arial" w:hAnsi="Arial" w:cs="Arial"/>
          <w:b/>
          <w:sz w:val="20"/>
          <w:szCs w:val="20"/>
        </w:rPr>
      </w:pPr>
    </w:p>
    <w:p w:rsidR="00A7441A" w:rsidRPr="0083769F" w:rsidRDefault="00A7441A" w:rsidP="00A7441A">
      <w:pPr>
        <w:rPr>
          <w:rFonts w:ascii="Arial" w:hAnsi="Arial" w:cs="Arial"/>
          <w:b/>
          <w:sz w:val="20"/>
          <w:szCs w:val="20"/>
        </w:rPr>
      </w:pPr>
    </w:p>
    <w:p w:rsidR="00076A87" w:rsidRPr="00C645A5" w:rsidRDefault="00076A87" w:rsidP="009079FD">
      <w:pPr>
        <w:jc w:val="center"/>
        <w:rPr>
          <w:rFonts w:ascii="Arial" w:hAnsi="Arial" w:cs="Arial"/>
          <w:b/>
          <w:sz w:val="20"/>
          <w:szCs w:val="20"/>
        </w:rPr>
      </w:pPr>
    </w:p>
    <w:p w:rsidR="009079FD" w:rsidRPr="00C645A5" w:rsidRDefault="009079FD" w:rsidP="009079FD">
      <w:pPr>
        <w:jc w:val="center"/>
        <w:rPr>
          <w:rFonts w:ascii="Arial" w:hAnsi="Arial" w:cs="Arial"/>
          <w:b/>
          <w:sz w:val="20"/>
          <w:szCs w:val="20"/>
        </w:rPr>
      </w:pPr>
    </w:p>
    <w:p w:rsidR="003667EC" w:rsidRPr="00C645A5" w:rsidRDefault="003667EC" w:rsidP="009079FD">
      <w:pPr>
        <w:jc w:val="center"/>
        <w:rPr>
          <w:rFonts w:ascii="Arial" w:hAnsi="Arial" w:cs="Arial"/>
          <w:b/>
          <w:sz w:val="20"/>
          <w:szCs w:val="20"/>
        </w:rPr>
      </w:pPr>
    </w:p>
    <w:p w:rsidR="003667EC" w:rsidRPr="00C645A5" w:rsidRDefault="003667EC" w:rsidP="009079FD">
      <w:pPr>
        <w:jc w:val="center"/>
        <w:rPr>
          <w:rFonts w:ascii="Arial" w:hAnsi="Arial" w:cs="Arial"/>
          <w:b/>
          <w:sz w:val="20"/>
          <w:szCs w:val="20"/>
        </w:rPr>
      </w:pPr>
    </w:p>
    <w:p w:rsidR="003667EC" w:rsidRPr="00C645A5" w:rsidRDefault="003667EC" w:rsidP="009079FD">
      <w:pPr>
        <w:jc w:val="center"/>
        <w:rPr>
          <w:rFonts w:ascii="Arial" w:hAnsi="Arial" w:cs="Arial"/>
          <w:b/>
          <w:sz w:val="20"/>
          <w:szCs w:val="20"/>
        </w:rPr>
      </w:pPr>
    </w:p>
    <w:p w:rsidR="003667EC" w:rsidRPr="00C645A5" w:rsidRDefault="003667EC" w:rsidP="009079FD">
      <w:pPr>
        <w:jc w:val="center"/>
        <w:rPr>
          <w:rFonts w:ascii="Arial" w:hAnsi="Arial" w:cs="Arial"/>
          <w:b/>
          <w:sz w:val="20"/>
          <w:szCs w:val="20"/>
        </w:rPr>
      </w:pPr>
    </w:p>
    <w:p w:rsidR="003667EC" w:rsidRDefault="003667EC" w:rsidP="009079FD">
      <w:pPr>
        <w:jc w:val="center"/>
        <w:rPr>
          <w:rFonts w:ascii="Arial" w:hAnsi="Arial" w:cs="Arial"/>
          <w:b/>
          <w:sz w:val="20"/>
          <w:szCs w:val="20"/>
        </w:rPr>
      </w:pPr>
    </w:p>
    <w:p w:rsidR="004852F9" w:rsidRDefault="004852F9" w:rsidP="009079FD">
      <w:pPr>
        <w:jc w:val="center"/>
        <w:rPr>
          <w:rFonts w:ascii="Arial" w:hAnsi="Arial" w:cs="Arial"/>
          <w:b/>
          <w:sz w:val="20"/>
          <w:szCs w:val="20"/>
        </w:rPr>
      </w:pPr>
    </w:p>
    <w:p w:rsidR="004852F9" w:rsidRDefault="004852F9" w:rsidP="009079FD">
      <w:pPr>
        <w:jc w:val="center"/>
        <w:rPr>
          <w:rFonts w:ascii="Arial" w:hAnsi="Arial" w:cs="Arial"/>
          <w:b/>
          <w:sz w:val="20"/>
          <w:szCs w:val="20"/>
        </w:rPr>
      </w:pPr>
    </w:p>
    <w:p w:rsidR="004852F9" w:rsidRDefault="004852F9" w:rsidP="009079FD">
      <w:pPr>
        <w:jc w:val="center"/>
        <w:rPr>
          <w:rFonts w:ascii="Arial" w:hAnsi="Arial" w:cs="Arial"/>
          <w:b/>
          <w:sz w:val="20"/>
          <w:szCs w:val="20"/>
        </w:rPr>
      </w:pPr>
    </w:p>
    <w:p w:rsidR="004852F9" w:rsidRDefault="004852F9" w:rsidP="009079FD">
      <w:pPr>
        <w:jc w:val="center"/>
        <w:rPr>
          <w:rFonts w:ascii="Arial" w:hAnsi="Arial" w:cs="Arial"/>
          <w:b/>
          <w:sz w:val="20"/>
          <w:szCs w:val="20"/>
        </w:rPr>
      </w:pPr>
    </w:p>
    <w:p w:rsidR="004852F9" w:rsidRDefault="004852F9" w:rsidP="009079FD">
      <w:pPr>
        <w:jc w:val="center"/>
        <w:rPr>
          <w:rFonts w:ascii="Arial" w:hAnsi="Arial" w:cs="Arial"/>
          <w:b/>
          <w:sz w:val="20"/>
          <w:szCs w:val="20"/>
        </w:rPr>
      </w:pPr>
    </w:p>
    <w:p w:rsidR="00586E56" w:rsidRDefault="00586E56" w:rsidP="003667EC">
      <w:pPr>
        <w:spacing w:line="240" w:lineRule="auto"/>
        <w:contextualSpacing/>
        <w:rPr>
          <w:rFonts w:ascii="Arial" w:hAnsi="Arial" w:cs="Arial"/>
          <w:b/>
          <w:sz w:val="20"/>
          <w:szCs w:val="20"/>
        </w:rPr>
      </w:pPr>
    </w:p>
    <w:sectPr w:rsidR="00586E56" w:rsidSect="00076A87">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E6D" w:rsidRDefault="00E56E6D" w:rsidP="00076A87">
      <w:pPr>
        <w:spacing w:after="0" w:line="240" w:lineRule="auto"/>
      </w:pPr>
      <w:r>
        <w:separator/>
      </w:r>
    </w:p>
  </w:endnote>
  <w:endnote w:type="continuationSeparator" w:id="0">
    <w:p w:rsidR="00E56E6D" w:rsidRDefault="00E56E6D" w:rsidP="0007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E56" w:rsidRPr="00100729" w:rsidRDefault="00A7441A" w:rsidP="00100729">
    <w:pPr>
      <w:rPr>
        <w:rFonts w:ascii="Arial" w:hAnsi="Arial" w:cs="Arial"/>
        <w:b/>
        <w:sz w:val="18"/>
        <w:szCs w:val="18"/>
      </w:rPr>
    </w:pPr>
    <w:r>
      <w:rPr>
        <w:rFonts w:ascii="Arial" w:hAnsi="Arial" w:cs="Arial"/>
        <w:sz w:val="18"/>
        <w:szCs w:val="18"/>
      </w:rPr>
      <w:t xml:space="preserve">NHLS Automated Reticulocyte Count </w:t>
    </w:r>
  </w:p>
  <w:p w:rsidR="00586E56" w:rsidRDefault="00586E56">
    <w:pPr>
      <w:pStyle w:val="Footer"/>
    </w:pPr>
    <w:r>
      <w:t xml:space="preserve">Page | </w:t>
    </w:r>
    <w:r>
      <w:fldChar w:fldCharType="begin"/>
    </w:r>
    <w:r>
      <w:instrText xml:space="preserve"> PAGE   \* MERGEFORMAT </w:instrText>
    </w:r>
    <w:r>
      <w:fldChar w:fldCharType="separate"/>
    </w:r>
    <w:r w:rsidR="002321DB">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E6D" w:rsidRDefault="00E56E6D" w:rsidP="00076A87">
      <w:pPr>
        <w:spacing w:after="0" w:line="240" w:lineRule="auto"/>
      </w:pPr>
      <w:r>
        <w:separator/>
      </w:r>
    </w:p>
  </w:footnote>
  <w:footnote w:type="continuationSeparator" w:id="0">
    <w:p w:rsidR="00E56E6D" w:rsidRDefault="00E56E6D" w:rsidP="00076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C83"/>
    <w:multiLevelType w:val="hybridMultilevel"/>
    <w:tmpl w:val="FA30A36C"/>
    <w:lvl w:ilvl="0" w:tplc="1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694770"/>
    <w:multiLevelType w:val="hybridMultilevel"/>
    <w:tmpl w:val="8C38E688"/>
    <w:lvl w:ilvl="0" w:tplc="1C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CD87579"/>
    <w:multiLevelType w:val="hybridMultilevel"/>
    <w:tmpl w:val="CD90C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40A46"/>
    <w:multiLevelType w:val="hybridMultilevel"/>
    <w:tmpl w:val="B60222CA"/>
    <w:lvl w:ilvl="0" w:tplc="1C090017">
      <w:start w:val="1"/>
      <w:numFmt w:val="lowerLetter"/>
      <w:pStyle w:val="ListBullet3"/>
      <w:lvlText w:val="%1)"/>
      <w:lvlJc w:val="left"/>
      <w:pPr>
        <w:ind w:left="1395" w:hanging="360"/>
      </w:pPr>
    </w:lvl>
    <w:lvl w:ilvl="1" w:tplc="08090019" w:tentative="1">
      <w:start w:val="1"/>
      <w:numFmt w:val="lowerLetter"/>
      <w:lvlText w:val="%2."/>
      <w:lvlJc w:val="left"/>
      <w:pPr>
        <w:ind w:left="2115" w:hanging="360"/>
      </w:pPr>
    </w:lvl>
    <w:lvl w:ilvl="2" w:tplc="0809001B" w:tentative="1">
      <w:start w:val="1"/>
      <w:numFmt w:val="lowerRoman"/>
      <w:lvlText w:val="%3."/>
      <w:lvlJc w:val="right"/>
      <w:pPr>
        <w:ind w:left="2835" w:hanging="180"/>
      </w:pPr>
    </w:lvl>
    <w:lvl w:ilvl="3" w:tplc="0809000F" w:tentative="1">
      <w:start w:val="1"/>
      <w:numFmt w:val="decimal"/>
      <w:lvlText w:val="%4."/>
      <w:lvlJc w:val="left"/>
      <w:pPr>
        <w:ind w:left="3555" w:hanging="360"/>
      </w:pPr>
    </w:lvl>
    <w:lvl w:ilvl="4" w:tplc="08090019" w:tentative="1">
      <w:start w:val="1"/>
      <w:numFmt w:val="lowerLetter"/>
      <w:lvlText w:val="%5."/>
      <w:lvlJc w:val="left"/>
      <w:pPr>
        <w:ind w:left="4275" w:hanging="360"/>
      </w:pPr>
    </w:lvl>
    <w:lvl w:ilvl="5" w:tplc="0809001B" w:tentative="1">
      <w:start w:val="1"/>
      <w:numFmt w:val="lowerRoman"/>
      <w:lvlText w:val="%6."/>
      <w:lvlJc w:val="right"/>
      <w:pPr>
        <w:ind w:left="4995" w:hanging="180"/>
      </w:pPr>
    </w:lvl>
    <w:lvl w:ilvl="6" w:tplc="0809000F" w:tentative="1">
      <w:start w:val="1"/>
      <w:numFmt w:val="decimal"/>
      <w:lvlText w:val="%7."/>
      <w:lvlJc w:val="left"/>
      <w:pPr>
        <w:ind w:left="5715" w:hanging="360"/>
      </w:pPr>
    </w:lvl>
    <w:lvl w:ilvl="7" w:tplc="08090019" w:tentative="1">
      <w:start w:val="1"/>
      <w:numFmt w:val="lowerLetter"/>
      <w:lvlText w:val="%8."/>
      <w:lvlJc w:val="left"/>
      <w:pPr>
        <w:ind w:left="6435" w:hanging="360"/>
      </w:pPr>
    </w:lvl>
    <w:lvl w:ilvl="8" w:tplc="0809001B" w:tentative="1">
      <w:start w:val="1"/>
      <w:numFmt w:val="lowerRoman"/>
      <w:lvlText w:val="%9."/>
      <w:lvlJc w:val="right"/>
      <w:pPr>
        <w:ind w:left="7155" w:hanging="180"/>
      </w:pPr>
    </w:lvl>
  </w:abstractNum>
  <w:abstractNum w:abstractNumId="4" w15:restartNumberingAfterBreak="0">
    <w:nsid w:val="116D2B29"/>
    <w:multiLevelType w:val="hybridMultilevel"/>
    <w:tmpl w:val="22A0E0D4"/>
    <w:lvl w:ilvl="0" w:tplc="1C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3F7799"/>
    <w:multiLevelType w:val="hybridMultilevel"/>
    <w:tmpl w:val="0472D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140A65"/>
    <w:multiLevelType w:val="hybridMultilevel"/>
    <w:tmpl w:val="DF02EA2A"/>
    <w:lvl w:ilvl="0" w:tplc="1C090003">
      <w:start w:val="1"/>
      <w:numFmt w:val="bullet"/>
      <w:lvlText w:val="o"/>
      <w:lvlJc w:val="left"/>
      <w:pPr>
        <w:ind w:left="2563" w:hanging="360"/>
      </w:pPr>
      <w:rPr>
        <w:rFonts w:ascii="Courier New" w:hAnsi="Courier New" w:cs="Courier New"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7" w15:restartNumberingAfterBreak="0">
    <w:nsid w:val="193110E3"/>
    <w:multiLevelType w:val="hybridMultilevel"/>
    <w:tmpl w:val="0D2EE4E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1BD72F0E"/>
    <w:multiLevelType w:val="hybridMultilevel"/>
    <w:tmpl w:val="F1B08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A576A7"/>
    <w:multiLevelType w:val="hybridMultilevel"/>
    <w:tmpl w:val="64B4D04E"/>
    <w:lvl w:ilvl="0" w:tplc="1C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34A7EB8"/>
    <w:multiLevelType w:val="hybridMultilevel"/>
    <w:tmpl w:val="43C2C93C"/>
    <w:lvl w:ilvl="0" w:tplc="1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CC7B10"/>
    <w:multiLevelType w:val="hybridMultilevel"/>
    <w:tmpl w:val="E90AA878"/>
    <w:lvl w:ilvl="0" w:tplc="1C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54C0FB3"/>
    <w:multiLevelType w:val="hybridMultilevel"/>
    <w:tmpl w:val="FA647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854726"/>
    <w:multiLevelType w:val="hybridMultilevel"/>
    <w:tmpl w:val="7628515C"/>
    <w:lvl w:ilvl="0" w:tplc="1C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FBB4E60"/>
    <w:multiLevelType w:val="hybridMultilevel"/>
    <w:tmpl w:val="DEC495AE"/>
    <w:lvl w:ilvl="0" w:tplc="1C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9713D4"/>
    <w:multiLevelType w:val="hybridMultilevel"/>
    <w:tmpl w:val="A792F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A21C91"/>
    <w:multiLevelType w:val="hybridMultilevel"/>
    <w:tmpl w:val="389AF30C"/>
    <w:lvl w:ilvl="0" w:tplc="1C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81F0AD4"/>
    <w:multiLevelType w:val="hybridMultilevel"/>
    <w:tmpl w:val="53A08B64"/>
    <w:lvl w:ilvl="0" w:tplc="1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C8E2674"/>
    <w:multiLevelType w:val="hybridMultilevel"/>
    <w:tmpl w:val="3856A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C42DCF"/>
    <w:multiLevelType w:val="hybridMultilevel"/>
    <w:tmpl w:val="3BD493CE"/>
    <w:lvl w:ilvl="0" w:tplc="1C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4E8B7A9D"/>
    <w:multiLevelType w:val="hybridMultilevel"/>
    <w:tmpl w:val="5434D47C"/>
    <w:lvl w:ilvl="0" w:tplc="1C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F4726D0"/>
    <w:multiLevelType w:val="hybridMultilevel"/>
    <w:tmpl w:val="8B2CB97A"/>
    <w:lvl w:ilvl="0" w:tplc="1C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53C0461D"/>
    <w:multiLevelType w:val="hybridMultilevel"/>
    <w:tmpl w:val="2CCE3056"/>
    <w:lvl w:ilvl="0" w:tplc="1C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54674A22"/>
    <w:multiLevelType w:val="hybridMultilevel"/>
    <w:tmpl w:val="9976E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DE3A6D"/>
    <w:multiLevelType w:val="hybridMultilevel"/>
    <w:tmpl w:val="351E1E3C"/>
    <w:lvl w:ilvl="0" w:tplc="1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B058C"/>
    <w:multiLevelType w:val="hybridMultilevel"/>
    <w:tmpl w:val="183C2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D90615"/>
    <w:multiLevelType w:val="hybridMultilevel"/>
    <w:tmpl w:val="EF624728"/>
    <w:lvl w:ilvl="0" w:tplc="1C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7" w15:restartNumberingAfterBreak="0">
    <w:nsid w:val="5B5A4A6D"/>
    <w:multiLevelType w:val="hybridMultilevel"/>
    <w:tmpl w:val="DB362270"/>
    <w:lvl w:ilvl="0" w:tplc="1C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EC31C95"/>
    <w:multiLevelType w:val="hybridMultilevel"/>
    <w:tmpl w:val="6270C380"/>
    <w:lvl w:ilvl="0" w:tplc="1C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9" w15:restartNumberingAfterBreak="0">
    <w:nsid w:val="5F91188F"/>
    <w:multiLevelType w:val="hybridMultilevel"/>
    <w:tmpl w:val="BE461AC4"/>
    <w:lvl w:ilvl="0" w:tplc="1C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05C735E"/>
    <w:multiLevelType w:val="hybridMultilevel"/>
    <w:tmpl w:val="488690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F46AF1"/>
    <w:multiLevelType w:val="hybridMultilevel"/>
    <w:tmpl w:val="DD580980"/>
    <w:lvl w:ilvl="0" w:tplc="1C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E814BE"/>
    <w:multiLevelType w:val="hybridMultilevel"/>
    <w:tmpl w:val="CC02EC38"/>
    <w:lvl w:ilvl="0" w:tplc="1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9004F4"/>
    <w:multiLevelType w:val="hybridMultilevel"/>
    <w:tmpl w:val="8286E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6A2C9F"/>
    <w:multiLevelType w:val="hybridMultilevel"/>
    <w:tmpl w:val="24A674A6"/>
    <w:lvl w:ilvl="0" w:tplc="1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D6005B"/>
    <w:multiLevelType w:val="hybridMultilevel"/>
    <w:tmpl w:val="87FE89AA"/>
    <w:lvl w:ilvl="0" w:tplc="1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CB4335"/>
    <w:multiLevelType w:val="hybridMultilevel"/>
    <w:tmpl w:val="FCFCD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2647F4"/>
    <w:multiLevelType w:val="hybridMultilevel"/>
    <w:tmpl w:val="47DC2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BE705F"/>
    <w:multiLevelType w:val="hybridMultilevel"/>
    <w:tmpl w:val="7880591A"/>
    <w:lvl w:ilvl="0" w:tplc="1C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40000A1"/>
    <w:multiLevelType w:val="hybridMultilevel"/>
    <w:tmpl w:val="A39ADF34"/>
    <w:lvl w:ilvl="0" w:tplc="1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6D2AFA"/>
    <w:multiLevelType w:val="hybridMultilevel"/>
    <w:tmpl w:val="00E8119E"/>
    <w:lvl w:ilvl="0" w:tplc="1C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20753A"/>
    <w:multiLevelType w:val="hybridMultilevel"/>
    <w:tmpl w:val="0A8290D8"/>
    <w:lvl w:ilvl="0" w:tplc="1C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4"/>
  </w:num>
  <w:num w:numId="2">
    <w:abstractNumId w:val="12"/>
  </w:num>
  <w:num w:numId="3">
    <w:abstractNumId w:val="25"/>
  </w:num>
  <w:num w:numId="4">
    <w:abstractNumId w:val="36"/>
  </w:num>
  <w:num w:numId="5">
    <w:abstractNumId w:val="33"/>
  </w:num>
  <w:num w:numId="6">
    <w:abstractNumId w:val="15"/>
  </w:num>
  <w:num w:numId="7">
    <w:abstractNumId w:val="2"/>
  </w:num>
  <w:num w:numId="8">
    <w:abstractNumId w:val="5"/>
  </w:num>
  <w:num w:numId="9">
    <w:abstractNumId w:val="37"/>
  </w:num>
  <w:num w:numId="10">
    <w:abstractNumId w:val="18"/>
  </w:num>
  <w:num w:numId="11">
    <w:abstractNumId w:val="31"/>
  </w:num>
  <w:num w:numId="12">
    <w:abstractNumId w:val="40"/>
  </w:num>
  <w:num w:numId="13">
    <w:abstractNumId w:val="34"/>
  </w:num>
  <w:num w:numId="14">
    <w:abstractNumId w:val="3"/>
  </w:num>
  <w:num w:numId="15">
    <w:abstractNumId w:val="13"/>
  </w:num>
  <w:num w:numId="16">
    <w:abstractNumId w:val="9"/>
  </w:num>
  <w:num w:numId="17">
    <w:abstractNumId w:val="27"/>
  </w:num>
  <w:num w:numId="18">
    <w:abstractNumId w:val="11"/>
  </w:num>
  <w:num w:numId="19">
    <w:abstractNumId w:val="41"/>
  </w:num>
  <w:num w:numId="20">
    <w:abstractNumId w:val="0"/>
  </w:num>
  <w:num w:numId="21">
    <w:abstractNumId w:val="1"/>
  </w:num>
  <w:num w:numId="22">
    <w:abstractNumId w:val="10"/>
  </w:num>
  <w:num w:numId="23">
    <w:abstractNumId w:val="29"/>
  </w:num>
  <w:num w:numId="24">
    <w:abstractNumId w:val="21"/>
  </w:num>
  <w:num w:numId="25">
    <w:abstractNumId w:val="20"/>
  </w:num>
  <w:num w:numId="26">
    <w:abstractNumId w:val="16"/>
  </w:num>
  <w:num w:numId="27">
    <w:abstractNumId w:val="28"/>
  </w:num>
  <w:num w:numId="28">
    <w:abstractNumId w:val="6"/>
  </w:num>
  <w:num w:numId="29">
    <w:abstractNumId w:val="17"/>
  </w:num>
  <w:num w:numId="30">
    <w:abstractNumId w:val="39"/>
  </w:num>
  <w:num w:numId="31">
    <w:abstractNumId w:val="4"/>
  </w:num>
  <w:num w:numId="32">
    <w:abstractNumId w:val="7"/>
  </w:num>
  <w:num w:numId="33">
    <w:abstractNumId w:val="32"/>
  </w:num>
  <w:num w:numId="34">
    <w:abstractNumId w:val="24"/>
  </w:num>
  <w:num w:numId="35">
    <w:abstractNumId w:val="8"/>
  </w:num>
  <w:num w:numId="36">
    <w:abstractNumId w:val="23"/>
  </w:num>
  <w:num w:numId="37">
    <w:abstractNumId w:val="35"/>
  </w:num>
  <w:num w:numId="38">
    <w:abstractNumId w:val="26"/>
  </w:num>
  <w:num w:numId="39">
    <w:abstractNumId w:val="19"/>
  </w:num>
  <w:num w:numId="40">
    <w:abstractNumId w:val="22"/>
  </w:num>
  <w:num w:numId="41">
    <w:abstractNumId w:val="30"/>
  </w:num>
  <w:num w:numId="42">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FD"/>
    <w:rsid w:val="00004850"/>
    <w:rsid w:val="00030CA8"/>
    <w:rsid w:val="00076A87"/>
    <w:rsid w:val="00083263"/>
    <w:rsid w:val="00100729"/>
    <w:rsid w:val="00181874"/>
    <w:rsid w:val="001D6E6D"/>
    <w:rsid w:val="001F5209"/>
    <w:rsid w:val="002321DB"/>
    <w:rsid w:val="00251685"/>
    <w:rsid w:val="00252816"/>
    <w:rsid w:val="00256CF9"/>
    <w:rsid w:val="00272C56"/>
    <w:rsid w:val="00294E5A"/>
    <w:rsid w:val="00302135"/>
    <w:rsid w:val="003110DE"/>
    <w:rsid w:val="003667EC"/>
    <w:rsid w:val="003706F7"/>
    <w:rsid w:val="00372DB8"/>
    <w:rsid w:val="003929CF"/>
    <w:rsid w:val="0040692B"/>
    <w:rsid w:val="004702AD"/>
    <w:rsid w:val="004852F9"/>
    <w:rsid w:val="00491E66"/>
    <w:rsid w:val="00503B85"/>
    <w:rsid w:val="00540C9C"/>
    <w:rsid w:val="00564389"/>
    <w:rsid w:val="005746DE"/>
    <w:rsid w:val="00586E56"/>
    <w:rsid w:val="005A1AC6"/>
    <w:rsid w:val="005B33C1"/>
    <w:rsid w:val="00623589"/>
    <w:rsid w:val="00624859"/>
    <w:rsid w:val="006A0F10"/>
    <w:rsid w:val="006D6462"/>
    <w:rsid w:val="00795D22"/>
    <w:rsid w:val="007B1539"/>
    <w:rsid w:val="00805666"/>
    <w:rsid w:val="00820729"/>
    <w:rsid w:val="00827C85"/>
    <w:rsid w:val="00831504"/>
    <w:rsid w:val="00840176"/>
    <w:rsid w:val="008B226A"/>
    <w:rsid w:val="009079FD"/>
    <w:rsid w:val="00947445"/>
    <w:rsid w:val="009640EF"/>
    <w:rsid w:val="009854E3"/>
    <w:rsid w:val="009F029F"/>
    <w:rsid w:val="00A12937"/>
    <w:rsid w:val="00A3079B"/>
    <w:rsid w:val="00A7441A"/>
    <w:rsid w:val="00AD6064"/>
    <w:rsid w:val="00AE5399"/>
    <w:rsid w:val="00B06842"/>
    <w:rsid w:val="00B24182"/>
    <w:rsid w:val="00B51CC8"/>
    <w:rsid w:val="00B7612F"/>
    <w:rsid w:val="00BD1C22"/>
    <w:rsid w:val="00C2308D"/>
    <w:rsid w:val="00C34B27"/>
    <w:rsid w:val="00C55D59"/>
    <w:rsid w:val="00C57970"/>
    <w:rsid w:val="00C645A5"/>
    <w:rsid w:val="00C8105C"/>
    <w:rsid w:val="00D83295"/>
    <w:rsid w:val="00DB67AE"/>
    <w:rsid w:val="00E20990"/>
    <w:rsid w:val="00E47116"/>
    <w:rsid w:val="00E56E6D"/>
    <w:rsid w:val="00EB026E"/>
    <w:rsid w:val="00F4592E"/>
    <w:rsid w:val="00F670E8"/>
    <w:rsid w:val="00FB7E1F"/>
    <w:rsid w:val="00FC57A1"/>
    <w:rsid w:val="00FD7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FEE318-6855-4019-9B4B-34F7838B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4592E"/>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079FD"/>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9079FD"/>
    <w:rPr>
      <w:rFonts w:ascii="Calibri" w:eastAsia="Times New Roman" w:hAnsi="Calibri" w:cs="Times New Roman"/>
      <w:lang w:val="en-US"/>
    </w:rPr>
  </w:style>
  <w:style w:type="paragraph" w:styleId="Header">
    <w:name w:val="header"/>
    <w:basedOn w:val="Normal"/>
    <w:link w:val="HeaderChar"/>
    <w:uiPriority w:val="99"/>
    <w:unhideWhenUsed/>
    <w:rsid w:val="00076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A87"/>
  </w:style>
  <w:style w:type="paragraph" w:styleId="Footer">
    <w:name w:val="footer"/>
    <w:basedOn w:val="Normal"/>
    <w:link w:val="FooterChar"/>
    <w:uiPriority w:val="99"/>
    <w:unhideWhenUsed/>
    <w:rsid w:val="00076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A87"/>
  </w:style>
  <w:style w:type="character" w:styleId="Hyperlink">
    <w:name w:val="Hyperlink"/>
    <w:basedOn w:val="DefaultParagraphFont"/>
    <w:uiPriority w:val="99"/>
    <w:unhideWhenUsed/>
    <w:rsid w:val="003667EC"/>
    <w:rPr>
      <w:color w:val="0563C1" w:themeColor="hyperlink"/>
      <w:u w:val="single"/>
    </w:rPr>
  </w:style>
  <w:style w:type="paragraph" w:styleId="ListParagraph">
    <w:name w:val="List Paragraph"/>
    <w:basedOn w:val="Normal"/>
    <w:uiPriority w:val="34"/>
    <w:qFormat/>
    <w:rsid w:val="003667EC"/>
    <w:pPr>
      <w:ind w:left="720"/>
      <w:contextualSpacing/>
    </w:pPr>
  </w:style>
  <w:style w:type="paragraph" w:customStyle="1" w:styleId="arial">
    <w:name w:val="arial"/>
    <w:basedOn w:val="ListBullet3"/>
    <w:uiPriority w:val="99"/>
    <w:rsid w:val="00F4592E"/>
    <w:pPr>
      <w:numPr>
        <w:numId w:val="0"/>
      </w:numPr>
      <w:spacing w:line="360" w:lineRule="auto"/>
      <w:contextualSpacing w:val="0"/>
    </w:pPr>
    <w:rPr>
      <w:rFonts w:ascii="Arial" w:hAnsi="Arial"/>
      <w:color w:val="000000"/>
      <w:lang w:val="en-GB"/>
    </w:rPr>
  </w:style>
  <w:style w:type="paragraph" w:styleId="ListBullet3">
    <w:name w:val="List Bullet 3"/>
    <w:basedOn w:val="Normal"/>
    <w:uiPriority w:val="99"/>
    <w:semiHidden/>
    <w:unhideWhenUsed/>
    <w:rsid w:val="00F4592E"/>
    <w:pPr>
      <w:numPr>
        <w:numId w:val="14"/>
      </w:numPr>
      <w:spacing w:after="0" w:line="240" w:lineRule="auto"/>
      <w:contextualSpacing/>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F4592E"/>
    <w:rPr>
      <w:rFonts w:ascii="Arial" w:eastAsia="Times New Roman" w:hAnsi="Arial" w:cs="Arial"/>
      <w:b/>
      <w:bCs/>
      <w:i/>
      <w:iCs/>
      <w:sz w:val="28"/>
      <w:szCs w:val="28"/>
      <w:lang w:val="en-US"/>
    </w:rPr>
  </w:style>
  <w:style w:type="paragraph" w:styleId="Index1">
    <w:name w:val="index 1"/>
    <w:basedOn w:val="Normal"/>
    <w:next w:val="Normal"/>
    <w:autoRedefine/>
    <w:uiPriority w:val="99"/>
    <w:semiHidden/>
    <w:unhideWhenUsed/>
    <w:rsid w:val="00F4592E"/>
    <w:pPr>
      <w:spacing w:after="0" w:line="240" w:lineRule="auto"/>
      <w:ind w:left="220" w:hanging="220"/>
    </w:pPr>
  </w:style>
  <w:style w:type="paragraph" w:styleId="IndexHeading">
    <w:name w:val="index heading"/>
    <w:basedOn w:val="Normal"/>
    <w:next w:val="Index1"/>
    <w:semiHidden/>
    <w:rsid w:val="00F4592E"/>
    <w:pPr>
      <w:spacing w:after="0" w:line="240" w:lineRule="auto"/>
    </w:pPr>
    <w:rPr>
      <w:rFonts w:ascii="Times New Roman" w:eastAsia="Times New Roman" w:hAnsi="Times New Roman" w:cs="Times New Roman"/>
      <w:sz w:val="24"/>
      <w:szCs w:val="24"/>
    </w:rPr>
  </w:style>
  <w:style w:type="paragraph" w:customStyle="1" w:styleId="Default">
    <w:name w:val="Default"/>
    <w:rsid w:val="005B33C1"/>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252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39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d4pts@nhls.ac.za"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485B7-5761-4EDA-AD59-BE626DAA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Aggett</dc:creator>
  <cp:keywords/>
  <dc:description/>
  <cp:lastModifiedBy>Thokozile Zulu</cp:lastModifiedBy>
  <cp:revision>2</cp:revision>
  <cp:lastPrinted>2021-03-15T08:03:00Z</cp:lastPrinted>
  <dcterms:created xsi:type="dcterms:W3CDTF">2022-07-15T07:27:00Z</dcterms:created>
  <dcterms:modified xsi:type="dcterms:W3CDTF">2022-07-15T07:27:00Z</dcterms:modified>
</cp:coreProperties>
</file>