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32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8110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38110B" w:rsidP="00546A74">
            <w:pPr>
              <w:spacing w:after="0" w:line="240" w:lineRule="auto"/>
              <w:rPr>
                <w:rFonts w:cs="Arial"/>
                <w:b/>
                <w:sz w:val="18"/>
                <w:szCs w:val="18"/>
              </w:rPr>
            </w:pPr>
            <w:r>
              <w:rPr>
                <w:rFonts w:ascii="Times New Roman" w:hAnsi="Times New Roman"/>
                <w:b/>
                <w:sz w:val="18"/>
                <w:szCs w:val="18"/>
              </w:rPr>
              <w:t xml:space="preserve">RENOVATIONS TO </w:t>
            </w:r>
            <w:r w:rsidR="00AB67D2">
              <w:rPr>
                <w:rFonts w:ascii="Times New Roman" w:hAnsi="Times New Roman"/>
                <w:b/>
                <w:sz w:val="18"/>
                <w:szCs w:val="18"/>
              </w:rPr>
              <w:t xml:space="preserve"> </w:t>
            </w:r>
            <w:r w:rsidRPr="0038110B">
              <w:rPr>
                <w:rFonts w:ascii="Times New Roman" w:hAnsi="Times New Roman"/>
                <w:b/>
                <w:sz w:val="18"/>
                <w:szCs w:val="18"/>
              </w:rPr>
              <w:t xml:space="preserve">MALUTI </w:t>
            </w:r>
            <w:r w:rsidR="000F3D5B">
              <w:rPr>
                <w:rFonts w:ascii="Times New Roman" w:hAnsi="Times New Roman"/>
                <w:b/>
                <w:sz w:val="18"/>
                <w:szCs w:val="18"/>
              </w:rPr>
              <w:t>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lastRenderedPageBreak/>
        <w:drawing>
          <wp:inline distT="0" distB="0" distL="0" distR="0" wp14:anchorId="7B75A2EA" wp14:editId="6AF7EF67">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RFQ NO: 1980927-3</w:t>
      </w:r>
      <w:r w:rsidRPr="0038110B">
        <w:rPr>
          <w:rFonts w:asciiTheme="minorHAnsi" w:eastAsiaTheme="minorEastAsia" w:hAnsiTheme="minorHAnsi" w:cstheme="minorBidi"/>
          <w:b/>
          <w:u w:val="single"/>
          <w:lang w:val="en-US" w:eastAsia="en-ZA"/>
        </w:rPr>
        <w:tab/>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INVITATION TO QUOTE ON.</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DESCRIPTION:  RENOVATIONS TO MALUTI LABORATORY</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ZA" w:eastAsia="en-ZA"/>
        </w:rPr>
      </w:pPr>
      <w:r w:rsidRPr="0038110B">
        <w:rPr>
          <w:rFonts w:asciiTheme="minorHAnsi" w:eastAsiaTheme="minorEastAsia" w:hAnsiTheme="minorHAnsi" w:cstheme="minorBidi"/>
          <w:b/>
          <w:u w:val="single"/>
          <w:lang w:val="en-US" w:eastAsia="en-ZA"/>
        </w:rPr>
        <w:t xml:space="preserve">COMPULSORY SITE MEETING: </w:t>
      </w:r>
      <w:r w:rsidRPr="0038110B">
        <w:rPr>
          <w:rFonts w:asciiTheme="minorHAnsi" w:eastAsiaTheme="minorEastAsia" w:hAnsiTheme="minorHAnsi" w:cstheme="minorBidi"/>
          <w:b/>
          <w:u w:val="single"/>
          <w:lang w:val="en-ZA" w:eastAsia="en-ZA"/>
        </w:rPr>
        <w:t>It is strongly recommended that the Bidders visit the Labs to familiarize themselves with the installation requirements</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 xml:space="preserve">ADDRESS:  </w:t>
      </w:r>
      <w:proofErr w:type="spellStart"/>
      <w:r w:rsidRPr="0038110B">
        <w:rPr>
          <w:rFonts w:asciiTheme="minorHAnsi" w:eastAsiaTheme="minorEastAsia" w:hAnsiTheme="minorHAnsi" w:cstheme="minorBidi"/>
          <w:b/>
          <w:u w:val="single"/>
          <w:lang w:val="en-US" w:eastAsia="en-ZA"/>
        </w:rPr>
        <w:t>Maluti</w:t>
      </w:r>
      <w:proofErr w:type="spellEnd"/>
      <w:r w:rsidRPr="0038110B">
        <w:rPr>
          <w:rFonts w:asciiTheme="minorHAnsi" w:eastAsiaTheme="minorEastAsia" w:hAnsiTheme="minorHAnsi" w:cstheme="minorBidi"/>
          <w:b/>
          <w:u w:val="single"/>
          <w:lang w:val="en-US" w:eastAsia="en-ZA"/>
        </w:rPr>
        <w:t xml:space="preserve"> Health Centre, </w:t>
      </w:r>
      <w:proofErr w:type="spellStart"/>
      <w:r w:rsidRPr="0038110B">
        <w:rPr>
          <w:rFonts w:asciiTheme="minorHAnsi" w:eastAsiaTheme="minorEastAsia" w:hAnsiTheme="minorHAnsi" w:cstheme="minorBidi"/>
          <w:b/>
          <w:u w:val="single"/>
          <w:lang w:val="en-US" w:eastAsia="en-ZA"/>
        </w:rPr>
        <w:t>Maluti</w:t>
      </w:r>
      <w:proofErr w:type="spellEnd"/>
      <w:r w:rsidRPr="0038110B">
        <w:rPr>
          <w:rFonts w:asciiTheme="minorHAnsi" w:eastAsiaTheme="minorEastAsia" w:hAnsiTheme="minorHAnsi" w:cstheme="minorBidi"/>
          <w:b/>
          <w:u w:val="single"/>
          <w:lang w:val="en-US" w:eastAsia="en-ZA"/>
        </w:rPr>
        <w:t>, 4740</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CLOSING DATE: 30 NOVEMBER 2021 AT 11.00AM</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 xml:space="preserve">ADDRESS:  C/O Buckingham &amp; </w:t>
      </w:r>
      <w:proofErr w:type="spellStart"/>
      <w:r w:rsidRPr="0038110B">
        <w:rPr>
          <w:rFonts w:asciiTheme="minorHAnsi" w:eastAsiaTheme="minorEastAsia" w:hAnsiTheme="minorHAnsi" w:cstheme="minorBidi"/>
          <w:b/>
          <w:u w:val="single"/>
          <w:lang w:val="en-US" w:eastAsia="en-ZA"/>
        </w:rPr>
        <w:t>Eastbourne</w:t>
      </w:r>
      <w:proofErr w:type="spellEnd"/>
      <w:r w:rsidRPr="0038110B">
        <w:rPr>
          <w:rFonts w:asciiTheme="minorHAnsi" w:eastAsiaTheme="minorEastAsia" w:hAnsiTheme="minorHAnsi" w:cstheme="minorBidi"/>
          <w:b/>
          <w:u w:val="single"/>
          <w:lang w:val="en-US" w:eastAsia="en-ZA"/>
        </w:rPr>
        <w:t xml:space="preserve"> Rd, Ground floor, Mount </w:t>
      </w:r>
      <w:proofErr w:type="gramStart"/>
      <w:r w:rsidRPr="0038110B">
        <w:rPr>
          <w:rFonts w:asciiTheme="minorHAnsi" w:eastAsiaTheme="minorEastAsia" w:hAnsiTheme="minorHAnsi" w:cstheme="minorBidi"/>
          <w:b/>
          <w:u w:val="single"/>
          <w:lang w:val="en-US" w:eastAsia="en-ZA"/>
        </w:rPr>
        <w:t>Croix,,</w:t>
      </w:r>
      <w:proofErr w:type="gramEnd"/>
      <w:r w:rsidRPr="0038110B">
        <w:rPr>
          <w:rFonts w:asciiTheme="minorHAnsi" w:eastAsiaTheme="minorEastAsia" w:hAnsiTheme="minorHAnsi" w:cstheme="minorBidi"/>
          <w:b/>
          <w:u w:val="single"/>
          <w:lang w:val="en-US" w:eastAsia="en-ZA"/>
        </w:rPr>
        <w:t xml:space="preserve"> PE</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bCs/>
          <w:u w:val="single"/>
          <w:lang w:val="en-US" w:eastAsia="en-ZA"/>
        </w:rPr>
        <w:t>FORM OF QUOTATION</w:t>
      </w: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r w:rsidRPr="0038110B">
        <w:rPr>
          <w:rFonts w:asciiTheme="minorHAnsi" w:eastAsiaTheme="minorEastAsia" w:hAnsiTheme="minorHAnsi" w:cstheme="minorBidi"/>
          <w:b/>
          <w:bCs/>
          <w:u w:val="single"/>
          <w:lang w:val="en-US" w:eastAsia="en-ZA"/>
        </w:rPr>
        <w:t xml:space="preserve">SUPPLIER:  </w:t>
      </w:r>
    </w:p>
    <w:p w:rsidR="0038110B" w:rsidRPr="0038110B" w:rsidRDefault="0038110B" w:rsidP="0038110B">
      <w:pPr>
        <w:spacing w:after="200" w:line="276" w:lineRule="auto"/>
        <w:rPr>
          <w:rFonts w:asciiTheme="minorHAnsi" w:eastAsiaTheme="minorEastAsia" w:hAnsiTheme="minorHAnsi" w:cstheme="minorBidi"/>
          <w:b/>
          <w:bCs/>
          <w:u w:val="single"/>
          <w:lang w:val="en-US" w:eastAsia="en-ZA"/>
        </w:rPr>
      </w:pPr>
      <w:r w:rsidRPr="0038110B">
        <w:rPr>
          <w:rFonts w:asciiTheme="minorHAnsi" w:eastAsiaTheme="minorEastAsia" w:hAnsiTheme="minorHAnsi" w:cstheme="minorBidi"/>
          <w:b/>
          <w:bCs/>
          <w:u w:val="single"/>
          <w:lang w:val="en-US" w:eastAsia="en-ZA"/>
        </w:rPr>
        <w:t xml:space="preserve">REQ NO: </w:t>
      </w:r>
    </w:p>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bCs/>
          <w:u w:val="single"/>
          <w:lang w:val="en-US" w:eastAsia="en-ZA"/>
        </w:rPr>
        <w:t xml:space="preserve">DESCRIPTION: </w:t>
      </w:r>
      <w:r w:rsidRPr="0038110B">
        <w:rPr>
          <w:rFonts w:asciiTheme="minorHAnsi" w:eastAsiaTheme="minorEastAsia" w:hAnsiTheme="minorHAnsi" w:cstheme="minorBidi"/>
          <w:b/>
          <w:u w:val="single"/>
          <w:lang w:val="en-US" w:eastAsia="en-ZA"/>
        </w:rPr>
        <w:t>RENOVATIONS TO MALUTI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Description</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Unit</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Quantity</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Rates</w:t>
            </w: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 xml:space="preserve">Cost </w:t>
            </w:r>
            <w:proofErr w:type="spellStart"/>
            <w:r w:rsidRPr="0038110B">
              <w:rPr>
                <w:rFonts w:asciiTheme="minorHAnsi" w:eastAsiaTheme="minorEastAsia" w:hAnsiTheme="minorHAnsi" w:cstheme="minorBidi"/>
                <w:b/>
                <w:u w:val="single"/>
                <w:lang w:val="en-US" w:eastAsia="en-ZA"/>
              </w:rPr>
              <w:t>excl</w:t>
            </w:r>
            <w:proofErr w:type="spellEnd"/>
            <w:r w:rsidRPr="0038110B">
              <w:rPr>
                <w:rFonts w:asciiTheme="minorHAnsi" w:eastAsiaTheme="minorEastAsia" w:hAnsiTheme="minorHAnsi" w:cstheme="minorBidi"/>
                <w:b/>
                <w:u w:val="single"/>
                <w:lang w:val="en-US" w:eastAsia="en-ZA"/>
              </w:rPr>
              <w:t xml:space="preserve"> vat</w:t>
            </w: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Supply and fit new toilet cistern to existing toilets, re connect to water supply</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3</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2</w:t>
            </w:r>
          </w:p>
        </w:tc>
        <w:tc>
          <w:tcPr>
            <w:tcW w:w="5245" w:type="dxa"/>
            <w:tcBorders>
              <w:top w:val="single" w:sz="4" w:space="0" w:color="auto"/>
              <w:left w:val="single" w:sz="4" w:space="0" w:color="auto"/>
              <w:bottom w:val="single" w:sz="4" w:space="0" w:color="auto"/>
              <w:right w:val="single" w:sz="4" w:space="0" w:color="auto"/>
            </w:tcBorders>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 xml:space="preserve">Supply and fit new </w:t>
            </w:r>
            <w:proofErr w:type="spellStart"/>
            <w:r w:rsidRPr="0038110B">
              <w:rPr>
                <w:rFonts w:asciiTheme="minorHAnsi" w:eastAsiaTheme="minorEastAsia" w:hAnsiTheme="minorHAnsi" w:cstheme="minorBidi"/>
                <w:b/>
                <w:u w:val="single"/>
                <w:lang w:val="en-US" w:eastAsia="en-ZA"/>
              </w:rPr>
              <w:t>chromadeck</w:t>
            </w:r>
            <w:proofErr w:type="spellEnd"/>
            <w:r w:rsidRPr="0038110B">
              <w:rPr>
                <w:rFonts w:asciiTheme="minorHAnsi" w:eastAsiaTheme="minorEastAsia" w:hAnsiTheme="minorHAnsi" w:cstheme="minorBidi"/>
                <w:b/>
                <w:u w:val="single"/>
                <w:lang w:val="en-US" w:eastAsia="en-ZA"/>
              </w:rPr>
              <w:t xml:space="preserve"> door new handle and lockset to </w:t>
            </w:r>
            <w:proofErr w:type="spellStart"/>
            <w:r w:rsidRPr="0038110B">
              <w:rPr>
                <w:rFonts w:asciiTheme="minorHAnsi" w:eastAsiaTheme="minorEastAsia" w:hAnsiTheme="minorHAnsi" w:cstheme="minorBidi"/>
                <w:b/>
                <w:u w:val="single"/>
                <w:lang w:val="en-US" w:eastAsia="en-ZA"/>
              </w:rPr>
              <w:t>Parkhome</w:t>
            </w:r>
            <w:proofErr w:type="spellEnd"/>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3</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Supply and fit new 3 lever locksets to existing doors</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2</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4</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Supply and fit Galvanized steel steps, bolted to the unit and concrete floor</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2</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5</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Supply and fit 5ft LED light fittings with clip on covers including lamps</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12</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6</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Supply and fit new white wooden toilet seats to existing toilet</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7</w:t>
            </w:r>
          </w:p>
        </w:tc>
        <w:tc>
          <w:tcPr>
            <w:tcW w:w="5245" w:type="dxa"/>
            <w:tcBorders>
              <w:top w:val="single" w:sz="4" w:space="0" w:color="auto"/>
              <w:left w:val="single" w:sz="4" w:space="0" w:color="auto"/>
              <w:bottom w:val="single" w:sz="4" w:space="0" w:color="auto"/>
              <w:right w:val="single" w:sz="4" w:space="0" w:color="auto"/>
            </w:tcBorders>
          </w:tcPr>
          <w:p w:rsidR="0038110B" w:rsidRPr="0038110B" w:rsidRDefault="0038110B" w:rsidP="0038110B">
            <w:pPr>
              <w:spacing w:after="200" w:line="276" w:lineRule="auto"/>
              <w:rPr>
                <w:rFonts w:asciiTheme="minorHAnsi" w:eastAsiaTheme="minorEastAsia" w:hAnsiTheme="minorHAnsi" w:cstheme="minorBidi"/>
                <w:b/>
                <w:u w:val="single"/>
                <w:lang w:val="en-ZA" w:eastAsia="en-ZA"/>
              </w:rPr>
            </w:pPr>
            <w:r w:rsidRPr="0038110B">
              <w:rPr>
                <w:rFonts w:asciiTheme="minorHAnsi" w:eastAsiaTheme="minorEastAsia" w:hAnsiTheme="minorHAnsi" w:cstheme="minorBidi"/>
                <w:b/>
                <w:u w:val="single"/>
                <w:lang w:val="en-ZA" w:eastAsia="en-ZA"/>
              </w:rPr>
              <w:t xml:space="preserve">Supply and fit new 100 L geyser to </w:t>
            </w:r>
            <w:proofErr w:type="spellStart"/>
            <w:r w:rsidRPr="0038110B">
              <w:rPr>
                <w:rFonts w:asciiTheme="minorHAnsi" w:eastAsiaTheme="minorEastAsia" w:hAnsiTheme="minorHAnsi" w:cstheme="minorBidi"/>
                <w:b/>
                <w:u w:val="single"/>
                <w:lang w:val="en-ZA" w:eastAsia="en-ZA"/>
              </w:rPr>
              <w:t>Parkhome</w:t>
            </w:r>
            <w:proofErr w:type="spellEnd"/>
            <w:r w:rsidRPr="0038110B">
              <w:rPr>
                <w:rFonts w:asciiTheme="minorHAnsi" w:eastAsiaTheme="minorEastAsia" w:hAnsiTheme="minorHAnsi" w:cstheme="minorBidi"/>
                <w:b/>
                <w:u w:val="single"/>
                <w:lang w:val="en-ZA" w:eastAsia="en-ZA"/>
              </w:rPr>
              <w:t>, re connect hot and cold water pipes including necessary valves, bond cold and hot water pipes to earth</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8</w:t>
            </w:r>
          </w:p>
        </w:tc>
        <w:tc>
          <w:tcPr>
            <w:tcW w:w="5245" w:type="dxa"/>
            <w:tcBorders>
              <w:top w:val="single" w:sz="4" w:space="0" w:color="auto"/>
              <w:left w:val="single" w:sz="4" w:space="0" w:color="auto"/>
              <w:bottom w:val="single" w:sz="4" w:space="0" w:color="auto"/>
              <w:right w:val="single" w:sz="4" w:space="0" w:color="auto"/>
            </w:tcBorders>
          </w:tcPr>
          <w:p w:rsidR="0038110B" w:rsidRPr="0038110B" w:rsidRDefault="0038110B" w:rsidP="0038110B">
            <w:pPr>
              <w:spacing w:after="200" w:line="276" w:lineRule="auto"/>
              <w:rPr>
                <w:rFonts w:asciiTheme="minorHAnsi" w:eastAsiaTheme="minorEastAsia" w:hAnsiTheme="minorHAnsi" w:cstheme="minorBidi"/>
                <w:b/>
                <w:u w:val="single"/>
                <w:lang w:val="en-ZA" w:eastAsia="en-ZA"/>
              </w:rPr>
            </w:pPr>
            <w:r w:rsidRPr="0038110B">
              <w:rPr>
                <w:rFonts w:asciiTheme="minorHAnsi" w:eastAsiaTheme="minorEastAsia" w:hAnsiTheme="minorHAnsi" w:cstheme="minorBidi"/>
                <w:b/>
                <w:u w:val="single"/>
                <w:lang w:val="en-ZA" w:eastAsia="en-ZA"/>
              </w:rPr>
              <w:t>Replace geyser element and thermostat to geyser in Mobile Lab</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vertAlign w:val="superscript"/>
                <w:lang w:val="en-US" w:eastAsia="en-ZA"/>
              </w:rPr>
            </w:pPr>
            <w:r w:rsidRPr="0038110B">
              <w:rPr>
                <w:rFonts w:asciiTheme="minorHAnsi" w:eastAsiaTheme="minorEastAsia" w:hAnsiTheme="minorHAnsi" w:cstheme="minorBidi"/>
                <w:b/>
                <w:u w:val="single"/>
                <w:lang w:val="en-US" w:eastAsia="en-ZA"/>
              </w:rPr>
              <w:t>No</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9</w:t>
            </w:r>
          </w:p>
        </w:tc>
        <w:tc>
          <w:tcPr>
            <w:tcW w:w="5245" w:type="dxa"/>
            <w:tcBorders>
              <w:top w:val="single" w:sz="4" w:space="0" w:color="auto"/>
              <w:left w:val="single" w:sz="4" w:space="0" w:color="auto"/>
              <w:bottom w:val="single" w:sz="4" w:space="0" w:color="auto"/>
              <w:right w:val="single" w:sz="4" w:space="0" w:color="auto"/>
            </w:tcBorders>
          </w:tcPr>
          <w:p w:rsidR="0038110B" w:rsidRPr="0038110B" w:rsidRDefault="0038110B" w:rsidP="0038110B">
            <w:pPr>
              <w:spacing w:after="200" w:line="276" w:lineRule="auto"/>
              <w:rPr>
                <w:rFonts w:asciiTheme="minorHAnsi" w:eastAsiaTheme="minorEastAsia" w:hAnsiTheme="minorHAnsi" w:cstheme="minorBidi"/>
                <w:b/>
                <w:u w:val="single"/>
                <w:lang w:val="en-ZA" w:eastAsia="en-ZA"/>
              </w:rPr>
            </w:pPr>
            <w:r w:rsidRPr="0038110B">
              <w:rPr>
                <w:rFonts w:asciiTheme="minorHAnsi" w:eastAsiaTheme="minorEastAsia" w:hAnsiTheme="minorHAnsi" w:cstheme="minorBidi"/>
                <w:b/>
                <w:u w:val="single"/>
                <w:lang w:val="en-ZA" w:eastAsia="en-ZA"/>
              </w:rPr>
              <w:t xml:space="preserve">Supply and fit new </w:t>
            </w:r>
            <w:proofErr w:type="spellStart"/>
            <w:r w:rsidRPr="0038110B">
              <w:rPr>
                <w:rFonts w:asciiTheme="minorHAnsi" w:eastAsiaTheme="minorEastAsia" w:hAnsiTheme="minorHAnsi" w:cstheme="minorBidi"/>
                <w:b/>
                <w:u w:val="single"/>
                <w:lang w:val="en-ZA" w:eastAsia="en-ZA"/>
              </w:rPr>
              <w:t>Supa</w:t>
            </w:r>
            <w:proofErr w:type="spellEnd"/>
            <w:r w:rsidRPr="0038110B">
              <w:rPr>
                <w:rFonts w:asciiTheme="minorHAnsi" w:eastAsiaTheme="minorEastAsia" w:hAnsiTheme="minorHAnsi" w:cstheme="minorBidi"/>
                <w:b/>
                <w:u w:val="single"/>
                <w:lang w:val="en-ZA" w:eastAsia="en-ZA"/>
              </w:rPr>
              <w:t xml:space="preserve"> wood flooring to both bathrooms, fit new vinyl tiles to new flooring, re fit toilet, basin and shower after new floor is installed and rec connect to water and sewer </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vertAlign w:val="superscript"/>
                <w:lang w:val="en-US" w:eastAsia="en-ZA"/>
              </w:rPr>
            </w:pPr>
            <w:r w:rsidRPr="0038110B">
              <w:rPr>
                <w:rFonts w:asciiTheme="minorHAnsi" w:eastAsiaTheme="minorEastAsia" w:hAnsiTheme="minorHAnsi" w:cstheme="minorBidi"/>
                <w:b/>
                <w:u w:val="single"/>
                <w:lang w:val="en-US" w:eastAsia="en-ZA"/>
              </w:rPr>
              <w:t>m</w:t>
            </w:r>
            <w:r w:rsidRPr="0038110B">
              <w:rPr>
                <w:rFonts w:asciiTheme="minorHAnsi" w:eastAsiaTheme="minorEastAsia" w:hAnsiTheme="minorHAnsi" w:cstheme="minorBidi"/>
                <w:b/>
                <w:u w:val="single"/>
                <w:vertAlign w:val="superscript"/>
                <w:lang w:val="en-US" w:eastAsia="en-ZA"/>
              </w:rPr>
              <w:t>2</w:t>
            </w: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12</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10</w:t>
            </w: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 xml:space="preserve">Supply COC electrical certificate for complete mobile unit </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Item</w:t>
            </w: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Allow the amount of R 5 000-00 (Five Thousand Rand) for contingency to be used at the discretion of the Principal Agent and deducted in whole or in part if not required</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R5,000.00</w:t>
            </w: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TOTAL</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PLUS 15% VAT</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GRAND TOTAL</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r w:rsidR="0038110B" w:rsidRPr="0038110B" w:rsidTr="0038110B">
        <w:trPr>
          <w:trHeight w:val="380"/>
        </w:trPr>
        <w:tc>
          <w:tcPr>
            <w:tcW w:w="67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5245"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r w:rsidRPr="0038110B">
              <w:rPr>
                <w:rFonts w:asciiTheme="minorHAnsi" w:eastAsiaTheme="minorEastAsia" w:hAnsiTheme="minorHAnsi" w:cstheme="minorBidi"/>
                <w:b/>
                <w:u w:val="single"/>
                <w:lang w:val="en-US" w:eastAsia="en-ZA"/>
              </w:rPr>
              <w:t>Estimated time to complete work above</w:t>
            </w:r>
          </w:p>
        </w:tc>
        <w:tc>
          <w:tcPr>
            <w:tcW w:w="738"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134"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530"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c>
          <w:tcPr>
            <w:tcW w:w="1907" w:type="dxa"/>
          </w:tcPr>
          <w:p w:rsidR="0038110B" w:rsidRPr="0038110B" w:rsidRDefault="0038110B" w:rsidP="0038110B">
            <w:pPr>
              <w:spacing w:after="200" w:line="276" w:lineRule="auto"/>
              <w:rPr>
                <w:rFonts w:asciiTheme="minorHAnsi" w:eastAsiaTheme="minorEastAsia" w:hAnsiTheme="minorHAnsi" w:cstheme="minorBidi"/>
                <w:b/>
                <w:u w:val="single"/>
                <w:lang w:val="en-US" w:eastAsia="en-ZA"/>
              </w:rPr>
            </w:pP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lastRenderedPageBreak/>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38110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w:t>
      </w:r>
      <w:r w:rsidRPr="00D93A59">
        <w:rPr>
          <w:rFonts w:asciiTheme="minorHAnsi" w:eastAsiaTheme="minorEastAsia" w:hAnsiTheme="minorHAnsi" w:cstheme="minorBidi"/>
          <w:lang w:val="en-US" w:eastAsia="en-ZA"/>
        </w:rPr>
        <w:lastRenderedPageBreak/>
        <w:t>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lastRenderedPageBreak/>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w:t>
      </w:r>
      <w:r w:rsidRPr="00D93A59">
        <w:rPr>
          <w:rFonts w:asciiTheme="minorHAnsi" w:eastAsiaTheme="minorEastAsia" w:hAnsiTheme="minorHAnsi" w:cstheme="minorBidi"/>
          <w:lang w:val="en-US" w:eastAsia="en-ZA"/>
        </w:rPr>
        <w:lastRenderedPageBreak/>
        <w:t xml:space="preserve">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lastRenderedPageBreak/>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D449A"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RFQ1980827-3 RENOVATIONS TO MALUTI</w:t>
      </w:r>
      <w:bookmarkStart w:id="1" w:name="_GoBack"/>
      <w:bookmarkEnd w:id="1"/>
      <w:r w:rsidR="000F3D5B">
        <w:rPr>
          <w:rFonts w:ascii="Verdana" w:eastAsia="Arial Unicode MS" w:hAnsi="Verdana" w:cs="Arial Unicode MS"/>
          <w:b/>
          <w:color w:val="FF0000"/>
          <w:sz w:val="18"/>
          <w:szCs w:val="18"/>
        </w:rPr>
        <w:t xml:space="preserv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2C" w:rsidRDefault="0062672C">
      <w:pPr>
        <w:spacing w:after="0" w:line="240" w:lineRule="auto"/>
      </w:pPr>
      <w:r>
        <w:separator/>
      </w:r>
    </w:p>
  </w:endnote>
  <w:endnote w:type="continuationSeparator" w:id="0">
    <w:p w:rsidR="0062672C" w:rsidRDefault="0062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pPr>
      <w:pStyle w:val="Footer"/>
    </w:pPr>
    <w:r>
      <w:fldChar w:fldCharType="begin"/>
    </w:r>
    <w:r>
      <w:instrText xml:space="preserve"> PAGE   \* MERGEFORMAT </w:instrText>
    </w:r>
    <w:r>
      <w:fldChar w:fldCharType="separate"/>
    </w:r>
    <w:r w:rsidR="009D449A">
      <w:rPr>
        <w:noProof/>
      </w:rPr>
      <w:t>21</w:t>
    </w:r>
    <w:r>
      <w:rPr>
        <w:noProof/>
      </w:rPr>
      <w:fldChar w:fldCharType="end"/>
    </w:r>
  </w:p>
  <w:p w:rsidR="0038110B" w:rsidRDefault="00381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2C" w:rsidRDefault="0062672C">
      <w:pPr>
        <w:spacing w:after="0" w:line="240" w:lineRule="auto"/>
      </w:pPr>
      <w:r>
        <w:separator/>
      </w:r>
    </w:p>
  </w:footnote>
  <w:footnote w:type="continuationSeparator" w:id="0">
    <w:p w:rsidR="0062672C" w:rsidRDefault="00626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10B"/>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2672C"/>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D449A"/>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33111-D123-4EE9-B608-60CD110B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17893</Words>
  <Characters>101994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119648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2021-11-18T07:33:00Z</cp:lastPrinted>
  <dcterms:created xsi:type="dcterms:W3CDTF">2021-11-18T07:35:00Z</dcterms:created>
  <dcterms:modified xsi:type="dcterms:W3CDTF">2021-11-18T07:35:00Z</dcterms:modified>
</cp:coreProperties>
</file>