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AA46F1" w:rsidP="00AA46F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1698407</w:t>
            </w:r>
            <w:r w:rsidR="003826AF">
              <w:rPr>
                <w:rFonts w:ascii="Verdana" w:hAnsi="Verdana"/>
                <w:b/>
                <w:sz w:val="20"/>
                <w:szCs w:val="20"/>
                <w:lang w:val="en-GB"/>
              </w:rPr>
              <w:t>/1</w:t>
            </w:r>
            <w:r>
              <w:rPr>
                <w:rFonts w:ascii="Verdana" w:hAnsi="Verdana"/>
                <w:b/>
                <w:sz w:val="20"/>
                <w:szCs w:val="20"/>
                <w:lang w:val="en-GB"/>
              </w:rPr>
              <w:t>8</w:t>
            </w:r>
            <w:r w:rsidR="00783B83">
              <w:rPr>
                <w:rFonts w:ascii="Verdana" w:hAnsi="Verdana"/>
                <w:b/>
                <w:sz w:val="20"/>
                <w:szCs w:val="20"/>
                <w:lang w:val="en-GB"/>
              </w:rPr>
              <w:t>-</w:t>
            </w:r>
            <w:r w:rsidR="0042175D">
              <w:rPr>
                <w:rFonts w:ascii="Verdana" w:hAnsi="Verdana"/>
                <w:b/>
                <w:sz w:val="20"/>
                <w:szCs w:val="20"/>
                <w:lang w:val="en-GB"/>
              </w:rPr>
              <w:t>1</w:t>
            </w:r>
            <w:r>
              <w:rPr>
                <w:rFonts w:ascii="Verdana" w:hAnsi="Verdana"/>
                <w:b/>
                <w:sz w:val="20"/>
                <w:szCs w:val="20"/>
                <w:lang w:val="en-GB"/>
              </w:rPr>
              <w:t>9</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42175D" w:rsidRDefault="00AA46F1" w:rsidP="004A26E2">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themeColor="text1"/>
                <w:sz w:val="20"/>
                <w:szCs w:val="20"/>
                <w:lang w:val="en-GB"/>
              </w:rPr>
            </w:pPr>
            <w:r>
              <w:rPr>
                <w:rFonts w:ascii="Verdana" w:hAnsi="Verdana"/>
                <w:b/>
                <w:color w:val="000000" w:themeColor="text1"/>
                <w:sz w:val="20"/>
                <w:szCs w:val="20"/>
                <w:lang w:val="en-GB"/>
              </w:rPr>
              <w:t>16</w:t>
            </w:r>
            <w:r w:rsidR="004A26E2" w:rsidRPr="004A26E2">
              <w:rPr>
                <w:rFonts w:ascii="Verdana" w:hAnsi="Verdana"/>
                <w:b/>
                <w:color w:val="000000" w:themeColor="text1"/>
                <w:sz w:val="20"/>
                <w:szCs w:val="20"/>
                <w:vertAlign w:val="superscript"/>
                <w:lang w:val="en-GB"/>
              </w:rPr>
              <w:t>th</w:t>
            </w:r>
            <w:r w:rsidR="004A26E2">
              <w:rPr>
                <w:rFonts w:ascii="Verdana" w:hAnsi="Verdana"/>
                <w:b/>
                <w:color w:val="000000" w:themeColor="text1"/>
                <w:sz w:val="20"/>
                <w:szCs w:val="20"/>
                <w:lang w:val="en-GB"/>
              </w:rPr>
              <w:t xml:space="preserve"> </w:t>
            </w:r>
            <w:r>
              <w:rPr>
                <w:rFonts w:ascii="Verdana" w:hAnsi="Verdana"/>
                <w:b/>
                <w:color w:val="000000" w:themeColor="text1"/>
                <w:sz w:val="20"/>
                <w:szCs w:val="20"/>
                <w:lang w:val="en-GB"/>
              </w:rPr>
              <w:t>NOVEMBER</w:t>
            </w:r>
            <w:r w:rsidR="0042175D" w:rsidRPr="0042175D">
              <w:rPr>
                <w:rFonts w:ascii="Verdana" w:hAnsi="Verdana"/>
                <w:b/>
                <w:color w:val="000000" w:themeColor="text1"/>
                <w:sz w:val="20"/>
                <w:szCs w:val="20"/>
                <w:lang w:val="en-GB"/>
              </w:rPr>
              <w:t xml:space="preserve"> 201</w:t>
            </w:r>
            <w:r w:rsidR="0028719F">
              <w:rPr>
                <w:rFonts w:ascii="Verdana" w:hAnsi="Verdana"/>
                <w:b/>
                <w:color w:val="000000" w:themeColor="text1"/>
                <w:sz w:val="20"/>
                <w:szCs w:val="20"/>
                <w:lang w:val="en-GB"/>
              </w:rPr>
              <w:t>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AC79E1">
        <w:trPr>
          <w:trHeight w:val="228"/>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278" w:type="dxa"/>
            <w:gridSpan w:val="3"/>
          </w:tcPr>
          <w:p w:rsidR="0011679B" w:rsidRDefault="00AC79E1" w:rsidP="008B1D69">
            <w:pPr>
              <w:pStyle w:val="TOC2"/>
            </w:pPr>
            <w:r>
              <w:t>COMPULSARY SITE BRIEFING:</w:t>
            </w:r>
          </w:p>
          <w:p w:rsidR="00AC79E1" w:rsidRDefault="00E615B3" w:rsidP="00AC79E1">
            <w:pPr>
              <w:pStyle w:val="TOC2"/>
            </w:pPr>
            <w:r>
              <w:t xml:space="preserve">DATE: </w:t>
            </w:r>
            <w:r w:rsidR="00AA46F1">
              <w:t>09</w:t>
            </w:r>
            <w:r w:rsidR="0028719F" w:rsidRPr="0028719F">
              <w:rPr>
                <w:vertAlign w:val="superscript"/>
              </w:rPr>
              <w:t>TH</w:t>
            </w:r>
            <w:r w:rsidR="00AA46F1">
              <w:t xml:space="preserve"> NOVEMBER</w:t>
            </w:r>
            <w:r w:rsidR="0028719F">
              <w:t xml:space="preserve"> 2018</w:t>
            </w:r>
          </w:p>
          <w:p w:rsidR="00AC79E1" w:rsidRDefault="0028719F" w:rsidP="00AC79E1">
            <w:pPr>
              <w:pStyle w:val="TOC2"/>
            </w:pPr>
            <w:r>
              <w:t>TIME: 10</w:t>
            </w:r>
            <w:r w:rsidR="00AC79E1">
              <w:t>:</w:t>
            </w:r>
            <w:r w:rsidR="00AA46F1">
              <w:t>3</w:t>
            </w:r>
            <w:bookmarkStart w:id="1" w:name="_GoBack"/>
            <w:bookmarkEnd w:id="1"/>
            <w:r w:rsidR="00AC79E1">
              <w:t>0 AM</w:t>
            </w:r>
          </w:p>
          <w:p w:rsidR="00AC79E1" w:rsidRPr="00AC79E1" w:rsidRDefault="00AC79E1" w:rsidP="00AC79E1">
            <w:pPr>
              <w:pStyle w:val="TOC2"/>
            </w:pPr>
            <w:r>
              <w:t>VENUE: NHLS, 1 MODDERFONTEIN ROAD, SANDRINGHAM, JOHANNESBURG (MEET OUTSIDE NICD RECEPTION)</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8B1D69" w:rsidRPr="003826AF" w:rsidRDefault="008B1D69" w:rsidP="008B1D69">
            <w:pPr>
              <w:pStyle w:val="Default"/>
              <w:rPr>
                <w:rFonts w:ascii="Verdana" w:hAnsi="Verdana"/>
                <w:b/>
                <w:sz w:val="20"/>
                <w:szCs w:val="20"/>
                <w:lang w:val="en-GB"/>
              </w:rPr>
            </w:pPr>
            <w:r>
              <w:rPr>
                <w:rFonts w:ascii="Verdana" w:hAnsi="Verdana"/>
                <w:b/>
                <w:sz w:val="20"/>
                <w:szCs w:val="20"/>
                <w:lang w:val="en-GB"/>
              </w:rPr>
              <w:t xml:space="preserve">REQUEST </w:t>
            </w:r>
            <w:r w:rsidR="00A86D4B">
              <w:rPr>
                <w:rFonts w:ascii="Verdana" w:hAnsi="Verdana"/>
                <w:b/>
                <w:sz w:val="20"/>
                <w:szCs w:val="20"/>
                <w:lang w:val="en-GB"/>
              </w:rPr>
              <w:t>FOR</w:t>
            </w:r>
            <w:r w:rsidR="0028719F">
              <w:rPr>
                <w:rFonts w:ascii="Verdana" w:hAnsi="Verdana"/>
                <w:b/>
                <w:sz w:val="20"/>
                <w:szCs w:val="20"/>
                <w:lang w:val="en-GB"/>
              </w:rPr>
              <w:t xml:space="preserve"> </w:t>
            </w:r>
            <w:r w:rsidR="00AF3B67" w:rsidRPr="00AC79E1">
              <w:rPr>
                <w:rFonts w:ascii="Verdana" w:hAnsi="Verdana" w:cs="Times New Roman"/>
                <w:b/>
                <w:noProof/>
                <w:color w:val="auto"/>
                <w:sz w:val="20"/>
                <w:szCs w:val="22"/>
                <w:lang w:val="en-GB" w:eastAsia="en-GB"/>
              </w:rPr>
              <w:t>MAINTENANCE</w:t>
            </w:r>
            <w:r w:rsidR="0028719F">
              <w:rPr>
                <w:rFonts w:ascii="Verdana" w:hAnsi="Verdana" w:cs="Times New Roman"/>
                <w:b/>
                <w:noProof/>
                <w:color w:val="auto"/>
                <w:sz w:val="20"/>
                <w:szCs w:val="22"/>
                <w:lang w:val="en-GB" w:eastAsia="en-GB"/>
              </w:rPr>
              <w:t xml:space="preserve"> </w:t>
            </w:r>
            <w:r w:rsidR="00AF3B67" w:rsidRPr="003826AF">
              <w:rPr>
                <w:rFonts w:ascii="Verdana" w:hAnsi="Verdana"/>
                <w:b/>
                <w:sz w:val="20"/>
                <w:szCs w:val="20"/>
                <w:lang w:val="en-GB"/>
              </w:rPr>
              <w:t>AND VALIDATION OF CLASS II (MICRO)BIOLOGICAL SAFETY CABINETS AT NICD SANDRINGHAM</w:t>
            </w:r>
          </w:p>
          <w:p w:rsidR="00B105BC" w:rsidRPr="00432E7C" w:rsidRDefault="00B105BC" w:rsidP="008B1D69">
            <w:pPr>
              <w:pStyle w:val="TOC2"/>
              <w:rPr>
                <w:b w:val="0"/>
                <w:szCs w:val="20"/>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934F0B" w:rsidRPr="00851F6F" w:rsidRDefault="00D272ED" w:rsidP="00934F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NICD STORES </w:t>
            </w:r>
            <w:r w:rsidR="006B6C18">
              <w:rPr>
                <w:rFonts w:ascii="Verdana" w:hAnsi="Verdana"/>
                <w:b/>
                <w:sz w:val="20"/>
                <w:szCs w:val="20"/>
                <w:lang w:val="en-GB"/>
              </w:rPr>
              <w:t xml:space="preserve">QUOTE BOX </w:t>
            </w:r>
            <w:r w:rsidR="00B26179">
              <w:rPr>
                <w:rFonts w:ascii="Verdana" w:hAnsi="Verdana"/>
                <w:b/>
                <w:sz w:val="20"/>
                <w:szCs w:val="20"/>
                <w:lang w:val="en-GB"/>
              </w:rPr>
              <w:t>ATTENTION TO NANDIPHA MABUTYA</w:t>
            </w:r>
          </w:p>
          <w:p w:rsidR="00FE68B6" w:rsidRPr="00432E7C" w:rsidRDefault="00934F0B" w:rsidP="00E113BE">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851F6F">
              <w:rPr>
                <w:rFonts w:ascii="Verdana" w:hAnsi="Verdana"/>
                <w:b/>
                <w:sz w:val="20"/>
                <w:szCs w:val="20"/>
                <w:lang w:val="en-GB"/>
              </w:rPr>
              <w:t>1 Modderfontein Road, Sandringham, Johannesburg.</w:t>
            </w:r>
            <w:r w:rsidR="0028719F">
              <w:rPr>
                <w:rFonts w:ascii="Verdana" w:hAnsi="Verdana"/>
                <w:b/>
                <w:sz w:val="20"/>
                <w:szCs w:val="20"/>
                <w:lang w:val="en-GB"/>
              </w:rPr>
              <w:t xml:space="preserve"> </w:t>
            </w:r>
            <w:r w:rsidR="0028719F" w:rsidRPr="0028719F">
              <w:rPr>
                <w:rFonts w:ascii="Verdana" w:hAnsi="Verdana"/>
                <w:b/>
                <w:color w:val="FF0000"/>
                <w:sz w:val="20"/>
                <w:szCs w:val="20"/>
                <w:lang w:val="en-GB"/>
              </w:rPr>
              <w:t>(NB: SUBMISSION DROPPED OFF AT THE NHLS QUOTE/TENDER BOX WILL NOT BE CONSIDERED)</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AF3B67">
        <w:rPr>
          <w:rFonts w:ascii="Verdana" w:hAnsi="Verdana"/>
          <w:b/>
          <w:sz w:val="20"/>
          <w:szCs w:val="20"/>
          <w:lang w:val="en-GB"/>
        </w:rPr>
        <w:t>Nandipham</w:t>
      </w:r>
      <w:r w:rsidR="006B6C18">
        <w:rPr>
          <w:rFonts w:ascii="Verdana" w:hAnsi="Verdana"/>
          <w:b/>
          <w:sz w:val="20"/>
          <w:szCs w:val="20"/>
          <w:lang w:val="en-GB"/>
        </w:rPr>
        <w:t>@nicd.ac.za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lastRenderedPageBreak/>
        <w:t>This</w:t>
      </w:r>
      <w:r w:rsidR="006B3515">
        <w:rPr>
          <w:rFonts w:ascii="Verdana" w:hAnsi="Verdana" w:cs="Arial"/>
          <w:b/>
          <w:sz w:val="20"/>
          <w:szCs w:val="20"/>
        </w:rPr>
        <w:t>RFQ</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A26E2">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A26E2">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53F0D">
        <w:rPr>
          <w:rFonts w:ascii="Verdana" w:hAnsi="Verdana"/>
          <w:sz w:val="20"/>
          <w:szCs w:val="20"/>
        </w:rPr>
        <w:t>the</w:t>
      </w:r>
      <w:r w:rsidR="00934F0B">
        <w:rPr>
          <w:rFonts w:ascii="Verdana" w:hAnsi="Verdana"/>
          <w:sz w:val="20"/>
          <w:szCs w:val="20"/>
        </w:rPr>
        <w:t>NHLS</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whilethe</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the</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28719F" w:rsidRDefault="0001431B">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505257149" w:history="1">
              <w:r w:rsidR="0028719F" w:rsidRPr="00430996">
                <w:rPr>
                  <w:rStyle w:val="Hyperlink"/>
                </w:rPr>
                <w:t>1.</w:t>
              </w:r>
              <w:r w:rsidR="0028719F">
                <w:rPr>
                  <w:rFonts w:asciiTheme="minorHAnsi" w:eastAsiaTheme="minorEastAsia" w:hAnsiTheme="minorHAnsi" w:cstheme="minorBidi"/>
                  <w:b w:val="0"/>
                  <w:bCs w:val="0"/>
                  <w:sz w:val="22"/>
                  <w:lang w:eastAsia="en-ZA"/>
                </w:rPr>
                <w:tab/>
              </w:r>
              <w:r w:rsidR="0028719F" w:rsidRPr="00430996">
                <w:rPr>
                  <w:rStyle w:val="Hyperlink"/>
                </w:rPr>
                <w:t>Terms and conditions of Request For Quotation (RFQ)</w:t>
              </w:r>
              <w:r w:rsidR="0028719F">
                <w:rPr>
                  <w:webHidden/>
                </w:rPr>
                <w:tab/>
              </w:r>
              <w:r w:rsidR="0028719F">
                <w:rPr>
                  <w:webHidden/>
                </w:rPr>
                <w:fldChar w:fldCharType="begin"/>
              </w:r>
              <w:r w:rsidR="0028719F">
                <w:rPr>
                  <w:webHidden/>
                </w:rPr>
                <w:instrText xml:space="preserve"> PAGEREF _Toc505257149 \h </w:instrText>
              </w:r>
              <w:r w:rsidR="0028719F">
                <w:rPr>
                  <w:webHidden/>
                </w:rPr>
              </w:r>
              <w:r w:rsidR="0028719F">
                <w:rPr>
                  <w:webHidden/>
                </w:rPr>
                <w:fldChar w:fldCharType="separate"/>
              </w:r>
              <w:r w:rsidR="0028719F">
                <w:rPr>
                  <w:webHidden/>
                </w:rPr>
                <w:t>5</w:t>
              </w:r>
              <w:r w:rsidR="0028719F">
                <w:rPr>
                  <w:webHidden/>
                </w:rPr>
                <w:fldChar w:fldCharType="end"/>
              </w:r>
            </w:hyperlink>
          </w:p>
          <w:p w:rsidR="0028719F" w:rsidRDefault="00A04CB0">
            <w:pPr>
              <w:pStyle w:val="TOC1"/>
              <w:rPr>
                <w:rFonts w:asciiTheme="minorHAnsi" w:eastAsiaTheme="minorEastAsia" w:hAnsiTheme="minorHAnsi" w:cstheme="minorBidi"/>
                <w:b w:val="0"/>
                <w:bCs w:val="0"/>
                <w:sz w:val="22"/>
                <w:lang w:eastAsia="en-ZA"/>
              </w:rPr>
            </w:pPr>
            <w:hyperlink w:anchor="_Toc505257150" w:history="1">
              <w:r w:rsidR="0028719F" w:rsidRPr="00430996">
                <w:rPr>
                  <w:rStyle w:val="Hyperlink"/>
                </w:rPr>
                <w:t>2.</w:t>
              </w:r>
              <w:r w:rsidR="0028719F">
                <w:rPr>
                  <w:rFonts w:asciiTheme="minorHAnsi" w:eastAsiaTheme="minorEastAsia" w:hAnsiTheme="minorHAnsi" w:cstheme="minorBidi"/>
                  <w:b w:val="0"/>
                  <w:bCs w:val="0"/>
                  <w:sz w:val="22"/>
                  <w:lang w:eastAsia="en-ZA"/>
                </w:rPr>
                <w:tab/>
              </w:r>
              <w:r w:rsidR="0028719F" w:rsidRPr="00430996">
                <w:rPr>
                  <w:rStyle w:val="Hyperlink"/>
                </w:rPr>
                <w:t>Response format</w:t>
              </w:r>
              <w:r w:rsidR="0028719F">
                <w:rPr>
                  <w:webHidden/>
                </w:rPr>
                <w:tab/>
              </w:r>
              <w:r w:rsidR="0028719F">
                <w:rPr>
                  <w:webHidden/>
                </w:rPr>
                <w:fldChar w:fldCharType="begin"/>
              </w:r>
              <w:r w:rsidR="0028719F">
                <w:rPr>
                  <w:webHidden/>
                </w:rPr>
                <w:instrText xml:space="preserve"> PAGEREF _Toc505257150 \h </w:instrText>
              </w:r>
              <w:r w:rsidR="0028719F">
                <w:rPr>
                  <w:webHidden/>
                </w:rPr>
              </w:r>
              <w:r w:rsidR="0028719F">
                <w:rPr>
                  <w:webHidden/>
                </w:rPr>
                <w:fldChar w:fldCharType="separate"/>
              </w:r>
              <w:r w:rsidR="0028719F">
                <w:rPr>
                  <w:webHidden/>
                </w:rPr>
                <w:t>6</w:t>
              </w:r>
              <w:r w:rsidR="0028719F">
                <w:rPr>
                  <w:webHidden/>
                </w:rPr>
                <w:fldChar w:fldCharType="end"/>
              </w:r>
            </w:hyperlink>
          </w:p>
          <w:p w:rsidR="0028719F" w:rsidRDefault="00A04CB0">
            <w:pPr>
              <w:pStyle w:val="TOC1"/>
              <w:tabs>
                <w:tab w:val="left" w:pos="1400"/>
              </w:tabs>
              <w:rPr>
                <w:rFonts w:asciiTheme="minorHAnsi" w:eastAsiaTheme="minorEastAsia" w:hAnsiTheme="minorHAnsi" w:cstheme="minorBidi"/>
                <w:b w:val="0"/>
                <w:bCs w:val="0"/>
                <w:sz w:val="22"/>
                <w:lang w:eastAsia="en-ZA"/>
              </w:rPr>
            </w:pPr>
            <w:hyperlink w:anchor="_Toc505257151" w:history="1">
              <w:r w:rsidR="0028719F" w:rsidRPr="00430996">
                <w:rPr>
                  <w:rStyle w:val="Hyperlink"/>
                </w:rPr>
                <w:t>Annex A :</w:t>
              </w:r>
              <w:r w:rsidR="0028719F">
                <w:rPr>
                  <w:rFonts w:asciiTheme="minorHAnsi" w:eastAsiaTheme="minorEastAsia" w:hAnsiTheme="minorHAnsi" w:cstheme="minorBidi"/>
                  <w:b w:val="0"/>
                  <w:bCs w:val="0"/>
                  <w:sz w:val="22"/>
                  <w:lang w:eastAsia="en-ZA"/>
                </w:rPr>
                <w:tab/>
              </w:r>
              <w:r w:rsidR="0028719F" w:rsidRPr="00430996">
                <w:rPr>
                  <w:rStyle w:val="Hyperlink"/>
                </w:rPr>
                <w:t>PRICE</w:t>
              </w:r>
              <w:r w:rsidR="0028719F">
                <w:rPr>
                  <w:webHidden/>
                </w:rPr>
                <w:tab/>
              </w:r>
              <w:r w:rsidR="0028719F">
                <w:rPr>
                  <w:webHidden/>
                </w:rPr>
                <w:fldChar w:fldCharType="begin"/>
              </w:r>
              <w:r w:rsidR="0028719F">
                <w:rPr>
                  <w:webHidden/>
                </w:rPr>
                <w:instrText xml:space="preserve"> PAGEREF _Toc505257151 \h </w:instrText>
              </w:r>
              <w:r w:rsidR="0028719F">
                <w:rPr>
                  <w:webHidden/>
                </w:rPr>
              </w:r>
              <w:r w:rsidR="0028719F">
                <w:rPr>
                  <w:webHidden/>
                </w:rPr>
                <w:fldChar w:fldCharType="separate"/>
              </w:r>
              <w:r w:rsidR="0028719F">
                <w:rPr>
                  <w:webHidden/>
                </w:rPr>
                <w:t>7</w:t>
              </w:r>
              <w:r w:rsidR="0028719F">
                <w:rPr>
                  <w:webHidden/>
                </w:rPr>
                <w:fldChar w:fldCharType="end"/>
              </w:r>
            </w:hyperlink>
          </w:p>
          <w:p w:rsidR="0028719F" w:rsidRDefault="00A04CB0">
            <w:pPr>
              <w:pStyle w:val="TOC1"/>
              <w:tabs>
                <w:tab w:val="left" w:pos="1400"/>
              </w:tabs>
              <w:rPr>
                <w:rFonts w:asciiTheme="minorHAnsi" w:eastAsiaTheme="minorEastAsia" w:hAnsiTheme="minorHAnsi" w:cstheme="minorBidi"/>
                <w:b w:val="0"/>
                <w:bCs w:val="0"/>
                <w:sz w:val="22"/>
                <w:lang w:eastAsia="en-ZA"/>
              </w:rPr>
            </w:pPr>
            <w:hyperlink w:anchor="_Toc505257152" w:history="1">
              <w:r w:rsidR="0028719F" w:rsidRPr="00430996">
                <w:rPr>
                  <w:rStyle w:val="Hyperlink"/>
                </w:rPr>
                <w:t>Annex B :</w:t>
              </w:r>
              <w:r w:rsidR="0028719F">
                <w:rPr>
                  <w:rFonts w:asciiTheme="minorHAnsi" w:eastAsiaTheme="minorEastAsia" w:hAnsiTheme="minorHAnsi" w:cstheme="minorBidi"/>
                  <w:b w:val="0"/>
                  <w:bCs w:val="0"/>
                  <w:sz w:val="22"/>
                  <w:lang w:eastAsia="en-ZA"/>
                </w:rPr>
                <w:tab/>
              </w:r>
              <w:r w:rsidR="0028719F" w:rsidRPr="00430996">
                <w:rPr>
                  <w:rStyle w:val="Hyperlink"/>
                </w:rPr>
                <w:t>Preferential Procurement Claim form SBD 6.1</w:t>
              </w:r>
              <w:r w:rsidR="0028719F">
                <w:rPr>
                  <w:webHidden/>
                </w:rPr>
                <w:tab/>
              </w:r>
              <w:r w:rsidR="0028719F">
                <w:rPr>
                  <w:webHidden/>
                </w:rPr>
                <w:fldChar w:fldCharType="begin"/>
              </w:r>
              <w:r w:rsidR="0028719F">
                <w:rPr>
                  <w:webHidden/>
                </w:rPr>
                <w:instrText xml:space="preserve"> PAGEREF _Toc505257152 \h </w:instrText>
              </w:r>
              <w:r w:rsidR="0028719F">
                <w:rPr>
                  <w:webHidden/>
                </w:rPr>
              </w:r>
              <w:r w:rsidR="0028719F">
                <w:rPr>
                  <w:webHidden/>
                </w:rPr>
                <w:fldChar w:fldCharType="separate"/>
              </w:r>
              <w:r w:rsidR="0028719F">
                <w:rPr>
                  <w:webHidden/>
                </w:rPr>
                <w:t>11</w:t>
              </w:r>
              <w:r w:rsidR="0028719F">
                <w:rPr>
                  <w:webHidden/>
                </w:rPr>
                <w:fldChar w:fldCharType="end"/>
              </w:r>
            </w:hyperlink>
          </w:p>
          <w:p w:rsidR="0028719F" w:rsidRDefault="00A04CB0">
            <w:pPr>
              <w:pStyle w:val="TOC1"/>
              <w:tabs>
                <w:tab w:val="left" w:pos="1400"/>
              </w:tabs>
              <w:rPr>
                <w:rFonts w:asciiTheme="minorHAnsi" w:eastAsiaTheme="minorEastAsia" w:hAnsiTheme="minorHAnsi" w:cstheme="minorBidi"/>
                <w:b w:val="0"/>
                <w:bCs w:val="0"/>
                <w:sz w:val="22"/>
                <w:lang w:eastAsia="en-ZA"/>
              </w:rPr>
            </w:pPr>
            <w:hyperlink w:anchor="_Toc505257153" w:history="1">
              <w:r w:rsidR="0028719F" w:rsidRPr="00430996">
                <w:rPr>
                  <w:rStyle w:val="Hyperlink"/>
                </w:rPr>
                <w:t>Annex C :</w:t>
              </w:r>
              <w:r w:rsidR="0028719F">
                <w:rPr>
                  <w:rFonts w:asciiTheme="minorHAnsi" w:eastAsiaTheme="minorEastAsia" w:hAnsiTheme="minorHAnsi" w:cstheme="minorBidi"/>
                  <w:b w:val="0"/>
                  <w:bCs w:val="0"/>
                  <w:sz w:val="22"/>
                  <w:lang w:eastAsia="en-ZA"/>
                </w:rPr>
                <w:tab/>
              </w:r>
              <w:r w:rsidR="0028719F" w:rsidRPr="00430996">
                <w:rPr>
                  <w:rStyle w:val="Hyperlink"/>
                </w:rPr>
                <w:t>Tax clearance requirements  SBD 2</w:t>
              </w:r>
              <w:r w:rsidR="0028719F">
                <w:rPr>
                  <w:webHidden/>
                </w:rPr>
                <w:tab/>
              </w:r>
              <w:r w:rsidR="0028719F">
                <w:rPr>
                  <w:webHidden/>
                </w:rPr>
                <w:fldChar w:fldCharType="begin"/>
              </w:r>
              <w:r w:rsidR="0028719F">
                <w:rPr>
                  <w:webHidden/>
                </w:rPr>
                <w:instrText xml:space="preserve"> PAGEREF _Toc505257153 \h </w:instrText>
              </w:r>
              <w:r w:rsidR="0028719F">
                <w:rPr>
                  <w:webHidden/>
                </w:rPr>
              </w:r>
              <w:r w:rsidR="0028719F">
                <w:rPr>
                  <w:webHidden/>
                </w:rPr>
                <w:fldChar w:fldCharType="separate"/>
              </w:r>
              <w:r w:rsidR="0028719F">
                <w:rPr>
                  <w:webHidden/>
                </w:rPr>
                <w:t>18</w:t>
              </w:r>
              <w:r w:rsidR="0028719F">
                <w:rPr>
                  <w:webHidden/>
                </w:rPr>
                <w:fldChar w:fldCharType="end"/>
              </w:r>
            </w:hyperlink>
          </w:p>
          <w:p w:rsidR="0028719F" w:rsidRDefault="00A04CB0">
            <w:pPr>
              <w:pStyle w:val="TOC1"/>
              <w:tabs>
                <w:tab w:val="left" w:pos="1400"/>
              </w:tabs>
              <w:rPr>
                <w:rFonts w:asciiTheme="minorHAnsi" w:eastAsiaTheme="minorEastAsia" w:hAnsiTheme="minorHAnsi" w:cstheme="minorBidi"/>
                <w:b w:val="0"/>
                <w:bCs w:val="0"/>
                <w:sz w:val="22"/>
                <w:lang w:eastAsia="en-ZA"/>
              </w:rPr>
            </w:pPr>
            <w:hyperlink w:anchor="_Toc505257154" w:history="1">
              <w:r w:rsidR="0028719F" w:rsidRPr="00430996">
                <w:rPr>
                  <w:rStyle w:val="Hyperlink"/>
                </w:rPr>
                <w:t>Annex D :</w:t>
              </w:r>
              <w:r w:rsidR="0028719F">
                <w:rPr>
                  <w:rFonts w:asciiTheme="minorHAnsi" w:eastAsiaTheme="minorEastAsia" w:hAnsiTheme="minorHAnsi" w:cstheme="minorBidi"/>
                  <w:b w:val="0"/>
                  <w:bCs w:val="0"/>
                  <w:sz w:val="22"/>
                  <w:lang w:eastAsia="en-ZA"/>
                </w:rPr>
                <w:tab/>
              </w:r>
              <w:r w:rsidR="0028719F" w:rsidRPr="00430996">
                <w:rPr>
                  <w:rStyle w:val="Hyperlink"/>
                </w:rPr>
                <w:t>Declaration Of Interest   SBD 4</w:t>
              </w:r>
              <w:r w:rsidR="0028719F">
                <w:rPr>
                  <w:webHidden/>
                </w:rPr>
                <w:tab/>
              </w:r>
              <w:r w:rsidR="0028719F">
                <w:rPr>
                  <w:webHidden/>
                </w:rPr>
                <w:fldChar w:fldCharType="begin"/>
              </w:r>
              <w:r w:rsidR="0028719F">
                <w:rPr>
                  <w:webHidden/>
                </w:rPr>
                <w:instrText xml:space="preserve"> PAGEREF _Toc505257154 \h </w:instrText>
              </w:r>
              <w:r w:rsidR="0028719F">
                <w:rPr>
                  <w:webHidden/>
                </w:rPr>
              </w:r>
              <w:r w:rsidR="0028719F">
                <w:rPr>
                  <w:webHidden/>
                </w:rPr>
                <w:fldChar w:fldCharType="separate"/>
              </w:r>
              <w:r w:rsidR="0028719F">
                <w:rPr>
                  <w:webHidden/>
                </w:rPr>
                <w:t>22</w:t>
              </w:r>
              <w:r w:rsidR="0028719F">
                <w:rPr>
                  <w:webHidden/>
                </w:rPr>
                <w:fldChar w:fldCharType="end"/>
              </w:r>
            </w:hyperlink>
          </w:p>
          <w:p w:rsidR="0028719F" w:rsidRDefault="00A04CB0">
            <w:pPr>
              <w:pStyle w:val="TOC1"/>
              <w:tabs>
                <w:tab w:val="left" w:pos="1400"/>
              </w:tabs>
              <w:rPr>
                <w:rFonts w:asciiTheme="minorHAnsi" w:eastAsiaTheme="minorEastAsia" w:hAnsiTheme="minorHAnsi" w:cstheme="minorBidi"/>
                <w:b w:val="0"/>
                <w:bCs w:val="0"/>
                <w:sz w:val="22"/>
                <w:lang w:eastAsia="en-ZA"/>
              </w:rPr>
            </w:pPr>
            <w:hyperlink w:anchor="_Toc505257155" w:history="1">
              <w:r w:rsidR="0028719F" w:rsidRPr="00430996">
                <w:rPr>
                  <w:rStyle w:val="Hyperlink"/>
                </w:rPr>
                <w:t>Annex E :</w:t>
              </w:r>
              <w:r w:rsidR="0028719F">
                <w:rPr>
                  <w:rFonts w:asciiTheme="minorHAnsi" w:eastAsiaTheme="minorEastAsia" w:hAnsiTheme="minorHAnsi" w:cstheme="minorBidi"/>
                  <w:b w:val="0"/>
                  <w:bCs w:val="0"/>
                  <w:sz w:val="22"/>
                  <w:lang w:eastAsia="en-ZA"/>
                </w:rPr>
                <w:tab/>
              </w:r>
              <w:r w:rsidR="0028719F" w:rsidRPr="00430996">
                <w:rPr>
                  <w:rStyle w:val="Hyperlink"/>
                </w:rPr>
                <w:t>Government Procurement: General Conditions of Contract – July 2011</w:t>
              </w:r>
              <w:r w:rsidR="0028719F">
                <w:rPr>
                  <w:webHidden/>
                </w:rPr>
                <w:tab/>
              </w:r>
              <w:r w:rsidR="0028719F">
                <w:rPr>
                  <w:webHidden/>
                </w:rPr>
                <w:fldChar w:fldCharType="begin"/>
              </w:r>
              <w:r w:rsidR="0028719F">
                <w:rPr>
                  <w:webHidden/>
                </w:rPr>
                <w:instrText xml:space="preserve"> PAGEREF _Toc505257155 \h </w:instrText>
              </w:r>
              <w:r w:rsidR="0028719F">
                <w:rPr>
                  <w:webHidden/>
                </w:rPr>
              </w:r>
              <w:r w:rsidR="0028719F">
                <w:rPr>
                  <w:webHidden/>
                </w:rPr>
                <w:fldChar w:fldCharType="separate"/>
              </w:r>
              <w:r w:rsidR="0028719F">
                <w:rPr>
                  <w:webHidden/>
                </w:rPr>
                <w:t>29</w:t>
              </w:r>
              <w:r w:rsidR="0028719F">
                <w:rPr>
                  <w:webHidden/>
                </w:rPr>
                <w:fldChar w:fldCharType="end"/>
              </w:r>
            </w:hyperlink>
          </w:p>
          <w:p w:rsidR="004F738A" w:rsidRPr="004F738A" w:rsidRDefault="0001431B"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505257149"/>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w:t>
      </w:r>
      <w:r w:rsidR="0028719F">
        <w:rPr>
          <w:rFonts w:ascii="Verdana" w:hAnsi="Verdana"/>
          <w:b/>
          <w:color w:val="FF0000"/>
          <w:sz w:val="20"/>
          <w:szCs w:val="20"/>
        </w:rPr>
        <w:t>NHLS QUOTE/</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505257150"/>
      <w:r w:rsidRPr="00FF46F1">
        <w:rPr>
          <w:color w:val="000080"/>
          <w:sz w:val="28"/>
          <w:szCs w:val="28"/>
        </w:rPr>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lastRenderedPageBreak/>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 xml:space="preserve">Original and valid Tax Clearance Certificate </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r w:rsidR="008B1D69">
        <w:rPr>
          <w:rFonts w:ascii="Verdana" w:hAnsi="Verdana" w:cs="Arial"/>
          <w:b/>
          <w:sz w:val="20"/>
          <w:szCs w:val="20"/>
        </w:rPr>
        <w:t>Must be according pricing template.</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28719F">
        <w:rPr>
          <w:rFonts w:ascii="Verdana" w:hAnsi="Verdana" w:cs="Arial"/>
          <w:sz w:val="20"/>
          <w:szCs w:val="20"/>
        </w:rPr>
        <w:t xml:space="preserve"> </w:t>
      </w:r>
      <w:r w:rsidR="00D76E91" w:rsidRPr="008D7D55">
        <w:rPr>
          <w:rFonts w:ascii="Verdana" w:hAnsi="Verdana" w:cs="Arial"/>
          <w:b/>
          <w:sz w:val="20"/>
          <w:szCs w:val="20"/>
        </w:rPr>
        <w:t>(SBD 4)</w:t>
      </w:r>
    </w:p>
    <w:p w:rsidR="0040246B" w:rsidRDefault="0028719F"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40246B">
        <w:rPr>
          <w:rFonts w:ascii="Verdana" w:hAnsi="Verdana" w:cs="Arial"/>
          <w:sz w:val="20"/>
          <w:szCs w:val="20"/>
        </w:rPr>
        <w:tab/>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28719F" w:rsidP="00D76E91">
      <w:pPr>
        <w:spacing w:line="360" w:lineRule="auto"/>
        <w:ind w:left="1418" w:hanging="1418"/>
        <w:jc w:val="both"/>
        <w:rPr>
          <w:rFonts w:ascii="Verdana" w:hAnsi="Verdana" w:cs="Arial"/>
          <w:sz w:val="20"/>
          <w:szCs w:val="20"/>
        </w:rPr>
      </w:pPr>
      <w:r>
        <w:rPr>
          <w:rFonts w:ascii="Verdana" w:hAnsi="Verdana" w:cs="Arial"/>
          <w:sz w:val="20"/>
          <w:szCs w:val="20"/>
        </w:rPr>
        <w:t xml:space="preserve">2.2.7  </w:t>
      </w:r>
      <w:r>
        <w:rPr>
          <w:rFonts w:ascii="Verdana" w:hAnsi="Verdana" w:cs="Arial"/>
          <w:b/>
          <w:sz w:val="20"/>
          <w:szCs w:val="20"/>
        </w:rPr>
        <w:t xml:space="preserve">           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28719F" w:rsidRPr="00804DB2" w:rsidRDefault="0028719F" w:rsidP="00D76E91">
      <w:pPr>
        <w:spacing w:line="360" w:lineRule="auto"/>
        <w:ind w:left="1418" w:hanging="1418"/>
        <w:jc w:val="both"/>
        <w:rPr>
          <w:rFonts w:ascii="Verdana" w:hAnsi="Verdana" w:cs="Arial"/>
          <w:sz w:val="20"/>
          <w:szCs w:val="20"/>
        </w:rPr>
      </w:pPr>
      <w:r>
        <w:rPr>
          <w:rFonts w:ascii="Verdana" w:hAnsi="Verdana" w:cs="Arial"/>
          <w:sz w:val="20"/>
          <w:szCs w:val="20"/>
        </w:rPr>
        <w:t xml:space="preserve">2.2.8             </w:t>
      </w:r>
      <w:r w:rsidRPr="0028719F">
        <w:rPr>
          <w:rFonts w:ascii="Verdana" w:hAnsi="Verdana" w:cs="Arial"/>
          <w:b/>
          <w:sz w:val="20"/>
          <w:szCs w:val="20"/>
        </w:rPr>
        <w:t>Schedule 8:</w:t>
      </w:r>
      <w:r>
        <w:rPr>
          <w:rFonts w:ascii="Verdana" w:hAnsi="Verdana" w:cs="Arial"/>
          <w:b/>
          <w:sz w:val="20"/>
          <w:szCs w:val="20"/>
        </w:rPr>
        <w:t xml:space="preserve"> </w:t>
      </w:r>
      <w:r w:rsidR="00804DB2">
        <w:rPr>
          <w:rFonts w:ascii="Verdana" w:hAnsi="Verdana" w:cs="Arial"/>
          <w:sz w:val="20"/>
          <w:szCs w:val="20"/>
        </w:rPr>
        <w:t>National Treasury CSD Report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505257151"/>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Pr>
          <w:rFonts w:ascii="Verdana" w:hAnsi="Verdana"/>
          <w:sz w:val="20"/>
          <w:szCs w:val="20"/>
        </w:rPr>
        <w:t xml:space="preserve"> ..........................................................</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0A3644" w:rsidRPr="00D9246C">
        <w:rPr>
          <w:rFonts w:ascii="Verdana" w:eastAsia="Arial Unicode MS" w:hAnsi="Verdana" w:cs="Arial"/>
          <w:b/>
          <w:sz w:val="20"/>
          <w:szCs w:val="20"/>
        </w:rPr>
        <w:t xml:space="preserve">AS </w:t>
      </w:r>
      <w:r w:rsidR="00AF3B67" w:rsidRPr="00AF3B67">
        <w:rPr>
          <w:rFonts w:ascii="Verdana" w:eastAsia="Arial Unicode MS" w:hAnsi="Verdana" w:cs="Arial"/>
          <w:b/>
          <w:color w:val="FF0000"/>
          <w:sz w:val="20"/>
          <w:szCs w:val="20"/>
        </w:rPr>
        <w:t>NB</w:t>
      </w:r>
      <w:r w:rsidR="00F5463E" w:rsidRPr="00AF3B67">
        <w:rPr>
          <w:rFonts w:ascii="Verdana" w:eastAsia="Arial Unicode MS" w:hAnsi="Verdana" w:cs="Arial"/>
          <w:b/>
          <w:color w:val="FF0000"/>
          <w:sz w:val="20"/>
          <w:szCs w:val="20"/>
        </w:rPr>
        <w:t>: Refer</w:t>
      </w:r>
      <w:r w:rsidR="00AF3B67" w:rsidRPr="00AF3B67">
        <w:rPr>
          <w:rFonts w:ascii="Verdana" w:eastAsia="Arial Unicode MS" w:hAnsi="Verdana" w:cs="Arial"/>
          <w:b/>
          <w:color w:val="FF0000"/>
          <w:sz w:val="20"/>
          <w:szCs w:val="20"/>
        </w:rPr>
        <w:t xml:space="preserve"> to specification and Cost attachment</w:t>
      </w:r>
    </w:p>
    <w:p w:rsidR="00EC4BE2" w:rsidRDefault="00EC4BE2" w:rsidP="00743338">
      <w:pPr>
        <w:rPr>
          <w:rFonts w:ascii="Verdana" w:hAnsi="Verdana" w:cs="Arial"/>
          <w:b/>
          <w:sz w:val="20"/>
          <w:szCs w:val="20"/>
        </w:rPr>
      </w:pPr>
    </w:p>
    <w:p w:rsidR="004447E3" w:rsidRPr="004447E3" w:rsidRDefault="008B1D69" w:rsidP="004447E3">
      <w:pPr>
        <w:rPr>
          <w:rFonts w:ascii="Verdana" w:hAnsi="Verdana" w:cs="Arial"/>
          <w:b/>
          <w:sz w:val="20"/>
          <w:szCs w:val="20"/>
        </w:rPr>
      </w:pPr>
      <w:r w:rsidRPr="003826AF">
        <w:rPr>
          <w:rFonts w:ascii="Verdana" w:hAnsi="Verdana" w:cs="Arial"/>
          <w:b/>
          <w:sz w:val="20"/>
          <w:szCs w:val="20"/>
          <w:highlight w:val="yellow"/>
        </w:rPr>
        <w:t xml:space="preserve">Specifications </w:t>
      </w:r>
      <w:r w:rsidR="00EC4BE2" w:rsidRPr="003826AF">
        <w:rPr>
          <w:rFonts w:ascii="Verdana" w:hAnsi="Verdana" w:cs="Arial"/>
          <w:b/>
          <w:sz w:val="20"/>
          <w:szCs w:val="20"/>
          <w:highlight w:val="yellow"/>
        </w:rPr>
        <w:t>can be found on the additional at</w:t>
      </w:r>
      <w:r w:rsidR="004447E3">
        <w:rPr>
          <w:rFonts w:ascii="Verdana" w:hAnsi="Verdana" w:cs="Arial"/>
          <w:b/>
          <w:sz w:val="20"/>
          <w:szCs w:val="20"/>
          <w:highlight w:val="yellow"/>
        </w:rPr>
        <w:t>tachment with the Scope of Work</w:t>
      </w:r>
    </w:p>
    <w:p w:rsidR="004447E3" w:rsidRPr="004447E3" w:rsidRDefault="004447E3" w:rsidP="004447E3">
      <w:pPr>
        <w:ind w:left="2880" w:hanging="2880"/>
        <w:rPr>
          <w:rFonts w:ascii="Arial" w:hAnsi="Arial" w:cs="Arial"/>
          <w:b/>
          <w:sz w:val="20"/>
          <w:szCs w:val="20"/>
          <w:lang w:val="en-US"/>
        </w:rPr>
      </w:pPr>
      <w:r w:rsidRPr="004447E3">
        <w:rPr>
          <w:rFonts w:ascii="Arial" w:hAnsi="Arial" w:cs="Arial"/>
          <w:b/>
          <w:bCs/>
          <w:sz w:val="20"/>
          <w:szCs w:val="20"/>
          <w:lang w:val="en-US"/>
        </w:rPr>
        <w:t xml:space="preserve">DESCRIPTION: </w:t>
      </w:r>
      <w:r w:rsidRPr="004447E3">
        <w:rPr>
          <w:rFonts w:ascii="Arial" w:hAnsi="Arial" w:cs="Arial"/>
          <w:b/>
          <w:sz w:val="20"/>
          <w:szCs w:val="20"/>
          <w:lang w:val="en-US"/>
        </w:rPr>
        <w:t xml:space="preserve"> MAINTENANCE AND VALIDATION OF CLASS II (MICRO)</w:t>
      </w:r>
      <w:r w:rsidR="004A26E2">
        <w:rPr>
          <w:rFonts w:ascii="Arial" w:hAnsi="Arial" w:cs="Arial"/>
          <w:b/>
          <w:sz w:val="20"/>
          <w:szCs w:val="20"/>
          <w:lang w:val="en-US"/>
        </w:rPr>
        <w:t xml:space="preserve"> </w:t>
      </w:r>
      <w:r w:rsidRPr="004447E3">
        <w:rPr>
          <w:rFonts w:ascii="Arial" w:hAnsi="Arial" w:cs="Arial"/>
          <w:b/>
          <w:sz w:val="20"/>
          <w:szCs w:val="20"/>
          <w:lang w:val="en-US"/>
        </w:rPr>
        <w:t>BIOLOGICAL SAFETY CABINETS AT NICD SANDRINGHAM</w:t>
      </w:r>
    </w:p>
    <w:p w:rsidR="00743338" w:rsidRPr="00743338" w:rsidRDefault="00743338" w:rsidP="00AF3B67">
      <w:pPr>
        <w:pStyle w:val="Default"/>
        <w:rPr>
          <w:rFonts w:ascii="Verdana" w:hAnsi="Verdana" w:cs="Arial"/>
          <w:b/>
          <w:sz w:val="20"/>
          <w:szCs w:val="20"/>
        </w:rPr>
      </w:pPr>
      <w:r w:rsidRPr="00743338">
        <w:rPr>
          <w:rFonts w:ascii="Verdana" w:hAnsi="Verdana" w:cs="Arial"/>
          <w:b/>
          <w:sz w:val="20"/>
          <w:szCs w:val="20"/>
        </w:rPr>
        <w:t>Mandatory Requirements</w:t>
      </w:r>
      <w:r w:rsidR="00AF3B67">
        <w:rPr>
          <w:rFonts w:ascii="Verdana" w:hAnsi="Verdana" w:cs="Arial"/>
          <w:b/>
          <w:sz w:val="20"/>
          <w:szCs w:val="20"/>
        </w:rPr>
        <w:t>:</w:t>
      </w:r>
    </w:p>
    <w:p w:rsidR="00743338" w:rsidRPr="00743338" w:rsidRDefault="00743338" w:rsidP="00743338">
      <w:pPr>
        <w:rPr>
          <w:rFonts w:ascii="Verdana" w:hAnsi="Verdana" w:cs="Arial"/>
          <w:b/>
          <w:sz w:val="20"/>
          <w:szCs w:val="20"/>
        </w:rPr>
      </w:pPr>
    </w:p>
    <w:p w:rsidR="00743338" w:rsidRPr="00EC4BE2" w:rsidRDefault="00743338" w:rsidP="00743338">
      <w:pPr>
        <w:rPr>
          <w:rFonts w:ascii="Verdana" w:hAnsi="Verdana" w:cs="Arial"/>
          <w:b/>
          <w:sz w:val="20"/>
          <w:szCs w:val="20"/>
          <w:highlight w:val="red"/>
        </w:rPr>
      </w:pPr>
      <w:r w:rsidRPr="00EC4BE2">
        <w:rPr>
          <w:rFonts w:ascii="Verdana" w:hAnsi="Verdana" w:cs="Arial"/>
          <w:b/>
          <w:sz w:val="20"/>
          <w:szCs w:val="20"/>
          <w:highlight w:val="red"/>
        </w:rPr>
        <w:t>(Kindly tick whether you comply or not comply)</w:t>
      </w:r>
    </w:p>
    <w:p w:rsidR="00743338" w:rsidRPr="00743338" w:rsidRDefault="00743338" w:rsidP="00743338">
      <w:pPr>
        <w:rPr>
          <w:rFonts w:ascii="Verdana" w:hAnsi="Verdana" w:cs="Arial"/>
          <w:b/>
          <w:sz w:val="20"/>
          <w:szCs w:val="20"/>
        </w:rPr>
      </w:pPr>
      <w:r w:rsidRPr="00EC4BE2">
        <w:rPr>
          <w:rFonts w:ascii="Verdana" w:hAnsi="Verdana" w:cs="Arial"/>
          <w:b/>
          <w:sz w:val="20"/>
          <w:szCs w:val="20"/>
          <w:highlight w:val="red"/>
        </w:rPr>
        <w:t>NB: If supplier</w:t>
      </w:r>
      <w:r w:rsidR="004A26E2">
        <w:rPr>
          <w:rFonts w:ascii="Verdana" w:hAnsi="Verdana" w:cs="Arial"/>
          <w:b/>
          <w:sz w:val="20"/>
          <w:szCs w:val="20"/>
          <w:highlight w:val="red"/>
        </w:rPr>
        <w:t xml:space="preserve"> </w:t>
      </w:r>
      <w:r w:rsidR="00BF6F8E" w:rsidRPr="00074894">
        <w:rPr>
          <w:rFonts w:ascii="Verdana" w:hAnsi="Verdana" w:cs="Arial"/>
          <w:b/>
          <w:sz w:val="20"/>
          <w:szCs w:val="20"/>
          <w:highlight w:val="red"/>
        </w:rPr>
        <w:t>FAILS</w:t>
      </w:r>
      <w:r w:rsidR="004A26E2">
        <w:rPr>
          <w:rFonts w:ascii="Verdana" w:hAnsi="Verdana" w:cs="Arial"/>
          <w:b/>
          <w:sz w:val="20"/>
          <w:szCs w:val="20"/>
          <w:highlight w:val="red"/>
        </w:rPr>
        <w:t xml:space="preserve"> </w:t>
      </w:r>
      <w:r w:rsidRPr="00EC4BE2">
        <w:rPr>
          <w:rFonts w:ascii="Verdana" w:hAnsi="Verdana" w:cs="Arial"/>
          <w:b/>
          <w:sz w:val="20"/>
          <w:szCs w:val="20"/>
          <w:highlight w:val="red"/>
        </w:rPr>
        <w:t>to</w:t>
      </w:r>
      <w:r w:rsidR="004A26E2">
        <w:rPr>
          <w:rFonts w:ascii="Verdana" w:hAnsi="Verdana" w:cs="Arial"/>
          <w:b/>
          <w:sz w:val="20"/>
          <w:szCs w:val="20"/>
          <w:highlight w:val="red"/>
        </w:rPr>
        <w:t xml:space="preserve"> </w:t>
      </w:r>
      <w:r w:rsidR="00BF6F8E">
        <w:rPr>
          <w:rFonts w:ascii="Verdana" w:hAnsi="Verdana" w:cs="Arial"/>
          <w:b/>
          <w:sz w:val="20"/>
          <w:szCs w:val="20"/>
          <w:highlight w:val="red"/>
        </w:rPr>
        <w:t xml:space="preserve">meet all mandatory </w:t>
      </w:r>
      <w:r w:rsidR="00BF6F8E" w:rsidRPr="00074894">
        <w:rPr>
          <w:rFonts w:ascii="Verdana" w:hAnsi="Verdana" w:cs="Arial"/>
          <w:b/>
          <w:sz w:val="20"/>
          <w:szCs w:val="20"/>
          <w:highlight w:val="red"/>
        </w:rPr>
        <w:t>requirements, this</w:t>
      </w:r>
      <w:r w:rsidRPr="00074894">
        <w:rPr>
          <w:rFonts w:ascii="Verdana" w:hAnsi="Verdana" w:cs="Arial"/>
          <w:b/>
          <w:sz w:val="20"/>
          <w:szCs w:val="20"/>
          <w:highlight w:val="red"/>
        </w:rPr>
        <w:t>may</w:t>
      </w:r>
      <w:r w:rsidRPr="00EC4BE2">
        <w:rPr>
          <w:rFonts w:ascii="Verdana" w:hAnsi="Verdana" w:cs="Arial"/>
          <w:b/>
          <w:sz w:val="20"/>
          <w:szCs w:val="20"/>
          <w:highlight w:val="red"/>
        </w:rPr>
        <w:t>lead to disqualification.</w:t>
      </w:r>
    </w:p>
    <w:p w:rsidR="00743338" w:rsidRPr="00743338" w:rsidRDefault="00743338" w:rsidP="00743338">
      <w:pPr>
        <w:rPr>
          <w:rFonts w:ascii="Verdana" w:hAnsi="Verdana" w:cs="Arial"/>
          <w:b/>
          <w:sz w:val="20"/>
          <w:szCs w:val="20"/>
        </w:rPr>
      </w:pPr>
    </w:p>
    <w:tbl>
      <w:tblPr>
        <w:tblStyle w:val="TableGrid"/>
        <w:tblW w:w="0" w:type="auto"/>
        <w:tblInd w:w="108" w:type="dxa"/>
        <w:tblLook w:val="04A0" w:firstRow="1" w:lastRow="0" w:firstColumn="1" w:lastColumn="0" w:noHBand="0" w:noVBand="1"/>
      </w:tblPr>
      <w:tblGrid>
        <w:gridCol w:w="1409"/>
        <w:gridCol w:w="5116"/>
        <w:gridCol w:w="1683"/>
        <w:gridCol w:w="1729"/>
      </w:tblGrid>
      <w:tr w:rsidR="00453EDF" w:rsidRPr="00453EDF" w:rsidTr="00453EDF">
        <w:tc>
          <w:tcPr>
            <w:tcW w:w="1418" w:type="dxa"/>
            <w:shd w:val="clear" w:color="auto" w:fill="F2F2F2" w:themeFill="background1" w:themeFillShade="F2"/>
          </w:tcPr>
          <w:p w:rsidR="00453EDF" w:rsidRPr="00453EDF" w:rsidRDefault="00453EDF" w:rsidP="008B1D69">
            <w:pPr>
              <w:jc w:val="center"/>
              <w:rPr>
                <w:rFonts w:ascii="Arial" w:hAnsi="Arial" w:cs="Arial"/>
                <w:b/>
                <w:sz w:val="20"/>
                <w:szCs w:val="20"/>
              </w:rPr>
            </w:pPr>
            <w:r w:rsidRPr="00453EDF">
              <w:rPr>
                <w:rFonts w:ascii="Arial" w:hAnsi="Arial" w:cs="Arial"/>
                <w:b/>
                <w:sz w:val="20"/>
                <w:szCs w:val="20"/>
              </w:rPr>
              <w:t>Mandatory No.</w:t>
            </w:r>
          </w:p>
        </w:tc>
        <w:tc>
          <w:tcPr>
            <w:tcW w:w="5253" w:type="dxa"/>
            <w:shd w:val="clear" w:color="auto" w:fill="F2F2F2" w:themeFill="background1" w:themeFillShade="F2"/>
          </w:tcPr>
          <w:p w:rsidR="00453EDF" w:rsidRPr="00453EDF" w:rsidRDefault="00453EDF" w:rsidP="008B1D69">
            <w:pPr>
              <w:jc w:val="center"/>
              <w:rPr>
                <w:rFonts w:ascii="Arial" w:hAnsi="Arial" w:cs="Arial"/>
                <w:b/>
                <w:sz w:val="20"/>
                <w:szCs w:val="20"/>
              </w:rPr>
            </w:pPr>
            <w:r w:rsidRPr="00453EDF">
              <w:rPr>
                <w:rFonts w:ascii="Arial" w:hAnsi="Arial" w:cs="Arial"/>
                <w:b/>
                <w:sz w:val="20"/>
                <w:szCs w:val="20"/>
              </w:rPr>
              <w:t>Mandatory Requirements</w:t>
            </w:r>
          </w:p>
        </w:tc>
        <w:tc>
          <w:tcPr>
            <w:tcW w:w="1722" w:type="dxa"/>
            <w:shd w:val="clear" w:color="auto" w:fill="F2F2F2" w:themeFill="background1" w:themeFillShade="F2"/>
          </w:tcPr>
          <w:p w:rsidR="00453EDF" w:rsidRPr="00453EDF" w:rsidRDefault="00453EDF" w:rsidP="008B1D69">
            <w:pPr>
              <w:jc w:val="center"/>
              <w:rPr>
                <w:rFonts w:ascii="Arial" w:hAnsi="Arial" w:cs="Arial"/>
                <w:b/>
                <w:sz w:val="20"/>
                <w:szCs w:val="20"/>
              </w:rPr>
            </w:pPr>
            <w:r w:rsidRPr="00453EDF">
              <w:rPr>
                <w:rFonts w:ascii="Arial" w:hAnsi="Arial" w:cs="Arial"/>
                <w:b/>
                <w:sz w:val="20"/>
                <w:szCs w:val="20"/>
              </w:rPr>
              <w:t>Comply</w:t>
            </w:r>
          </w:p>
        </w:tc>
        <w:tc>
          <w:tcPr>
            <w:tcW w:w="1770" w:type="dxa"/>
            <w:shd w:val="clear" w:color="auto" w:fill="F2F2F2" w:themeFill="background1" w:themeFillShade="F2"/>
          </w:tcPr>
          <w:p w:rsidR="00453EDF" w:rsidRPr="00453EDF" w:rsidRDefault="00453EDF" w:rsidP="008B1D69">
            <w:pPr>
              <w:jc w:val="center"/>
              <w:rPr>
                <w:rFonts w:ascii="Arial" w:hAnsi="Arial" w:cs="Arial"/>
                <w:b/>
                <w:sz w:val="20"/>
                <w:szCs w:val="20"/>
              </w:rPr>
            </w:pPr>
            <w:r w:rsidRPr="00453EDF">
              <w:rPr>
                <w:rFonts w:ascii="Arial" w:hAnsi="Arial" w:cs="Arial"/>
                <w:b/>
                <w:sz w:val="20"/>
                <w:szCs w:val="20"/>
              </w:rPr>
              <w:t>Not Comply</w:t>
            </w: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1</w:t>
            </w:r>
          </w:p>
        </w:tc>
        <w:tc>
          <w:tcPr>
            <w:tcW w:w="5253" w:type="dxa"/>
          </w:tcPr>
          <w:p w:rsidR="00453EDF" w:rsidRPr="00453EDF" w:rsidRDefault="00453EDF" w:rsidP="00E615B3">
            <w:pPr>
              <w:jc w:val="both"/>
              <w:rPr>
                <w:rFonts w:ascii="Arial" w:hAnsi="Arial" w:cs="Arial"/>
                <w:color w:val="000000" w:themeColor="text1"/>
                <w:sz w:val="20"/>
                <w:szCs w:val="20"/>
              </w:rPr>
            </w:pPr>
            <w:r w:rsidRPr="00453EDF">
              <w:rPr>
                <w:rFonts w:ascii="Arial" w:hAnsi="Arial" w:cs="Arial"/>
                <w:color w:val="000000" w:themeColor="text1"/>
                <w:sz w:val="20"/>
                <w:szCs w:val="20"/>
              </w:rPr>
              <w:t>Applicable training for at least supervisory staff (senior position) regarding:</w:t>
            </w:r>
          </w:p>
          <w:p w:rsidR="00453EDF" w:rsidRPr="00453EDF" w:rsidRDefault="00453EDF" w:rsidP="00E615B3">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Servicing (Pre-Validation)</w:t>
            </w:r>
          </w:p>
          <w:p w:rsidR="00453EDF" w:rsidRPr="00453EDF" w:rsidRDefault="00453EDF" w:rsidP="00E615B3">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 xml:space="preserve">Maintenance </w:t>
            </w:r>
          </w:p>
          <w:p w:rsidR="00453EDF" w:rsidRPr="00453EDF" w:rsidRDefault="00453EDF" w:rsidP="00E615B3">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Calibration (Setting of alarms/display readings/Gauges)</w:t>
            </w:r>
          </w:p>
          <w:p w:rsidR="00453EDF" w:rsidRPr="00453EDF" w:rsidRDefault="00453EDF" w:rsidP="00E615B3">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Validation (Referring to manufacturers specifications and Standards)</w:t>
            </w:r>
          </w:p>
          <w:p w:rsidR="00453EDF" w:rsidRPr="00453EDF" w:rsidRDefault="00453EDF" w:rsidP="00E615B3">
            <w:pPr>
              <w:pStyle w:val="Subtitle"/>
              <w:rPr>
                <w:rFonts w:ascii="Arial" w:hAnsi="Arial"/>
                <w:b w:val="0"/>
                <w:color w:val="000000" w:themeColor="text1"/>
                <w:sz w:val="20"/>
                <w:szCs w:val="20"/>
                <w:u w:val="none"/>
              </w:rPr>
            </w:pPr>
            <w:r w:rsidRPr="00453EDF">
              <w:rPr>
                <w:rFonts w:ascii="Arial" w:hAnsi="Arial"/>
                <w:b w:val="0"/>
                <w:color w:val="000000" w:themeColor="text1"/>
                <w:sz w:val="20"/>
                <w:szCs w:val="20"/>
                <w:u w:val="none"/>
              </w:rPr>
              <w:t>Bidders must provide proof of external training certificates that comply to NSF/ANSI 49 and/or EN12469:2000</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2</w:t>
            </w:r>
          </w:p>
        </w:tc>
        <w:tc>
          <w:tcPr>
            <w:tcW w:w="5253" w:type="dxa"/>
            <w:vAlign w:val="bottom"/>
          </w:tcPr>
          <w:p w:rsidR="00453EDF" w:rsidRPr="00453EDF" w:rsidRDefault="00453EDF" w:rsidP="00E615B3">
            <w:pPr>
              <w:rPr>
                <w:rFonts w:ascii="Arial" w:hAnsi="Arial" w:cs="Arial"/>
                <w:color w:val="000000" w:themeColor="text1"/>
                <w:sz w:val="20"/>
                <w:szCs w:val="20"/>
              </w:rPr>
            </w:pPr>
            <w:r w:rsidRPr="00453EDF">
              <w:rPr>
                <w:rFonts w:ascii="Arial" w:hAnsi="Arial" w:cs="Arial"/>
                <w:color w:val="000000" w:themeColor="text1"/>
                <w:sz w:val="20"/>
                <w:szCs w:val="20"/>
              </w:rPr>
              <w:t xml:space="preserve">Provide internal training program were the training and competency for all relevant staff is demonstrated for the service and validation of Biological Safety Cabinets. </w:t>
            </w:r>
          </w:p>
          <w:p w:rsidR="00453EDF" w:rsidRPr="00453EDF" w:rsidRDefault="00453EDF" w:rsidP="00E615B3">
            <w:pPr>
              <w:rPr>
                <w:rFonts w:ascii="Arial" w:hAnsi="Arial" w:cs="Arial"/>
                <w:color w:val="000000" w:themeColor="text1"/>
                <w:sz w:val="20"/>
                <w:szCs w:val="20"/>
              </w:rPr>
            </w:pPr>
            <w:r w:rsidRPr="00453EDF">
              <w:rPr>
                <w:rFonts w:ascii="Arial" w:hAnsi="Arial" w:cs="Arial"/>
                <w:color w:val="000000" w:themeColor="text1"/>
                <w:sz w:val="20"/>
                <w:szCs w:val="20"/>
              </w:rPr>
              <w:t>Bidders must provide a training program</w:t>
            </w:r>
            <w:r w:rsidR="00804DB2">
              <w:rPr>
                <w:rFonts w:ascii="Arial" w:hAnsi="Arial" w:cs="Arial"/>
                <w:color w:val="000000" w:themeColor="text1"/>
                <w:sz w:val="20"/>
                <w:szCs w:val="20"/>
              </w:rPr>
              <w:t xml:space="preserve"> or competency certificate</w:t>
            </w:r>
            <w:r w:rsidRPr="00453EDF">
              <w:rPr>
                <w:rFonts w:ascii="Arial" w:hAnsi="Arial" w:cs="Arial"/>
                <w:color w:val="000000" w:themeColor="text1"/>
                <w:sz w:val="20"/>
                <w:szCs w:val="20"/>
              </w:rPr>
              <w:t xml:space="preserve"> as part of their submission.</w:t>
            </w:r>
          </w:p>
          <w:p w:rsidR="00453EDF" w:rsidRPr="00453EDF" w:rsidRDefault="00453EDF" w:rsidP="00E615B3">
            <w:pPr>
              <w:rPr>
                <w:rFonts w:ascii="Arial" w:hAnsi="Arial" w:cs="Arial"/>
                <w:b/>
                <w:color w:val="000000" w:themeColor="text1"/>
                <w:sz w:val="20"/>
                <w:szCs w:val="20"/>
              </w:rPr>
            </w:pPr>
            <w:r w:rsidRPr="00453EDF">
              <w:rPr>
                <w:rFonts w:ascii="Arial" w:hAnsi="Arial" w:cs="Arial"/>
                <w:b/>
                <w:color w:val="000000" w:themeColor="text1"/>
                <w:sz w:val="20"/>
                <w:szCs w:val="20"/>
              </w:rPr>
              <w:t>(If all relevant staff are trained in accordance to mandatory 1 this mandatory 2 shall fall away.)</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3</w:t>
            </w:r>
          </w:p>
        </w:tc>
        <w:tc>
          <w:tcPr>
            <w:tcW w:w="5253" w:type="dxa"/>
          </w:tcPr>
          <w:p w:rsidR="00453EDF" w:rsidRPr="00453EDF" w:rsidRDefault="00453EDF" w:rsidP="004A26E2">
            <w:pPr>
              <w:rPr>
                <w:rFonts w:ascii="Arial" w:hAnsi="Arial" w:cs="Arial"/>
                <w:color w:val="000000" w:themeColor="text1"/>
                <w:sz w:val="20"/>
                <w:szCs w:val="20"/>
              </w:rPr>
            </w:pPr>
            <w:r w:rsidRPr="00453EDF">
              <w:rPr>
                <w:rFonts w:ascii="Arial" w:hAnsi="Arial" w:cs="Arial"/>
                <w:color w:val="000000" w:themeColor="text1"/>
                <w:sz w:val="20"/>
                <w:szCs w:val="20"/>
              </w:rPr>
              <w:t xml:space="preserve">By submitting a tender, the supplier confirms that The appropriate standard report form as drafted by the NHLS/NICD must be completed and delivered to the Laboratory Manager or the appointed representative within 2 working days of the service having been </w:t>
            </w:r>
            <w:r w:rsidRPr="00453EDF">
              <w:rPr>
                <w:rFonts w:ascii="Arial" w:hAnsi="Arial" w:cs="Arial"/>
                <w:color w:val="000000" w:themeColor="text1"/>
                <w:sz w:val="20"/>
                <w:szCs w:val="20"/>
              </w:rPr>
              <w:lastRenderedPageBreak/>
              <w:t>completed. Copies of standard reporting forms are a</w:t>
            </w:r>
            <w:r w:rsidR="00804DB2">
              <w:rPr>
                <w:rFonts w:ascii="Arial" w:hAnsi="Arial" w:cs="Arial"/>
                <w:color w:val="000000" w:themeColor="text1"/>
                <w:sz w:val="20"/>
                <w:szCs w:val="20"/>
              </w:rPr>
              <w:t>vailable from NICD Procurement email: adelleb</w:t>
            </w:r>
            <w:r w:rsidRPr="00453EDF">
              <w:rPr>
                <w:rFonts w:ascii="Arial" w:hAnsi="Arial" w:cs="Arial"/>
                <w:color w:val="000000" w:themeColor="text1"/>
                <w:sz w:val="20"/>
                <w:szCs w:val="20"/>
              </w:rPr>
              <w:t>@nicd.ac.za</w:t>
            </w:r>
          </w:p>
          <w:p w:rsidR="00453EDF" w:rsidRPr="00453EDF" w:rsidRDefault="00453EDF" w:rsidP="003826AF">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lastRenderedPageBreak/>
              <w:t>4</w:t>
            </w:r>
          </w:p>
        </w:tc>
        <w:tc>
          <w:tcPr>
            <w:tcW w:w="5253" w:type="dxa"/>
          </w:tcPr>
          <w:p w:rsidR="00453EDF" w:rsidRPr="00453EDF" w:rsidRDefault="00453EDF" w:rsidP="00E615B3">
            <w:pPr>
              <w:jc w:val="both"/>
              <w:rPr>
                <w:rFonts w:ascii="Arial" w:hAnsi="Arial" w:cs="Arial"/>
                <w:color w:val="000000" w:themeColor="text1"/>
                <w:sz w:val="20"/>
                <w:szCs w:val="20"/>
              </w:rPr>
            </w:pPr>
            <w:r w:rsidRPr="00453EDF">
              <w:rPr>
                <w:rFonts w:ascii="Arial" w:hAnsi="Arial" w:cs="Arial"/>
                <w:color w:val="000000" w:themeColor="text1"/>
                <w:sz w:val="20"/>
                <w:szCs w:val="20"/>
              </w:rPr>
              <w:t>Reasons together with justifying measurements must be recorded on the NHLS report template for any HEPA filter replaced. The certificate of manufacture for any replaced HEPA filters shall be delivered to the Laboratory Manager or the appointed representative within 2 working days of the service having been completed. The filter seal numbers of both the removed and the replacement HEPA filters shall be recorded on the same report document including the revalidation information.</w:t>
            </w:r>
          </w:p>
          <w:p w:rsidR="00453EDF" w:rsidRPr="00453EDF" w:rsidRDefault="00453EDF" w:rsidP="003826AF">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5</w:t>
            </w:r>
          </w:p>
        </w:tc>
        <w:tc>
          <w:tcPr>
            <w:tcW w:w="5253" w:type="dxa"/>
            <w:vAlign w:val="bottom"/>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Only HEPA filters that are within specifications of the manufacturer requirements for the said BSC shall be used without modification or forceful insertion. Bidder must supply Specifications for the six (6) (3 complete sets) of HEPA filters requested in the pricing schedule.</w:t>
            </w:r>
          </w:p>
          <w:p w:rsidR="00453EDF" w:rsidRPr="00453EDF" w:rsidRDefault="00453EDF" w:rsidP="00AD08F7">
            <w:pPr>
              <w:rPr>
                <w:rFonts w:ascii="Arial" w:hAnsi="Arial" w:cs="Arial"/>
                <w:color w:val="000000" w:themeColor="text1"/>
                <w:sz w:val="20"/>
                <w:szCs w:val="20"/>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6</w:t>
            </w:r>
          </w:p>
        </w:tc>
        <w:tc>
          <w:tcPr>
            <w:tcW w:w="5253" w:type="dxa"/>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Once the facility manager or appointed representative has been shown the old HEPA filter that has been replaced, the HEPA filter will be placed in the plastic covering and then the box which previously contained the new HEPA filters, it must be clearly marked with the relevant NHLS health care risk waste details and taped shut with bio-safety tape and then given to the facility manager or their representative for disposal by the NHLS through our health care risk waste disposal stream. (The NHLS Laboratory Manager will supply the necessary health care risk waste details, relevant sticker and tape to ensure compliance with the NHLS policy).</w:t>
            </w:r>
          </w:p>
          <w:p w:rsidR="00453EDF" w:rsidRPr="00453EDF" w:rsidRDefault="00453EDF" w:rsidP="00AD08F7">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7</w:t>
            </w:r>
          </w:p>
        </w:tc>
        <w:tc>
          <w:tcPr>
            <w:tcW w:w="5253" w:type="dxa"/>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In the event that a cabinet is deemed dangerous to the operator or any other person the Laboratory Manager or appointed representative shall immediately be informed of the situation and advised in writing that the bio-safety cabinet should be removed from service with immediate effect. The correspondence shall include detailed reasons for the removal of the cabinet from service and shall be left with the Laboratory Manager at the time of the decision. The cabinet should also be marked clearly as “not safe for use” with a reason.</w:t>
            </w:r>
          </w:p>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(Bidders must provide the above mentioned “removal/failure” form as part of their submission).</w:t>
            </w:r>
          </w:p>
          <w:p w:rsidR="00453EDF" w:rsidRPr="00453EDF" w:rsidRDefault="00453EDF" w:rsidP="003826AF">
            <w:pPr>
              <w:pStyle w:val="Subtitle"/>
              <w:rPr>
                <w:rFonts w:ascii="Arial" w:hAnsi="Arial"/>
                <w:b w:val="0"/>
                <w:color w:val="000000" w:themeColor="text1"/>
                <w:sz w:val="20"/>
                <w:szCs w:val="20"/>
                <w:u w:val="none"/>
              </w:rPr>
            </w:pPr>
          </w:p>
          <w:p w:rsidR="00453EDF" w:rsidRPr="00453EDF" w:rsidRDefault="00453EDF" w:rsidP="003826AF">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8</w:t>
            </w:r>
          </w:p>
        </w:tc>
        <w:tc>
          <w:tcPr>
            <w:tcW w:w="5253" w:type="dxa"/>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Should any Biological Safety Cabinets be located in a position or be found to be maintained in such a manner as to cause risk to the user or any other person the supplier must report same together with recommendations on the NHLS standard report in the prescribed manner and also discussed with the Laboratory Manager or the appointed representative.</w:t>
            </w:r>
          </w:p>
          <w:p w:rsidR="00453EDF" w:rsidRPr="00453EDF" w:rsidRDefault="00453EDF" w:rsidP="00AD08F7">
            <w:pPr>
              <w:pStyle w:val="Subtitle"/>
              <w:rPr>
                <w:rFonts w:ascii="Arial" w:hAnsi="Arial"/>
                <w:b w:val="0"/>
                <w:color w:val="000000" w:themeColor="text1"/>
                <w:sz w:val="20"/>
                <w:szCs w:val="20"/>
                <w:u w:val="none"/>
              </w:rPr>
            </w:pPr>
            <w:r w:rsidRPr="00453EDF">
              <w:rPr>
                <w:rFonts w:ascii="Arial" w:hAnsi="Arial"/>
                <w:b w:val="0"/>
                <w:color w:val="000000" w:themeColor="text1"/>
                <w:sz w:val="20"/>
                <w:szCs w:val="20"/>
                <w:u w:val="none"/>
              </w:rPr>
              <w:t xml:space="preserve">Bidders must supply written </w:t>
            </w:r>
            <w:r w:rsidR="00804DB2">
              <w:rPr>
                <w:rFonts w:ascii="Arial" w:hAnsi="Arial"/>
                <w:b w:val="0"/>
                <w:color w:val="000000" w:themeColor="text1"/>
                <w:sz w:val="20"/>
                <w:szCs w:val="20"/>
                <w:u w:val="none"/>
              </w:rPr>
              <w:t>report</w:t>
            </w:r>
            <w:r w:rsidRPr="00453EDF">
              <w:rPr>
                <w:rFonts w:ascii="Arial" w:hAnsi="Arial"/>
                <w:b w:val="0"/>
                <w:color w:val="000000" w:themeColor="text1"/>
                <w:sz w:val="20"/>
                <w:szCs w:val="20"/>
                <w:u w:val="none"/>
              </w:rPr>
              <w:t xml:space="preserve"> for the placement of cabinets as per relevant standards</w:t>
            </w:r>
            <w:r w:rsidR="00804DB2">
              <w:rPr>
                <w:rFonts w:ascii="Arial" w:hAnsi="Arial"/>
                <w:b w:val="0"/>
                <w:color w:val="000000" w:themeColor="text1"/>
                <w:sz w:val="20"/>
                <w:szCs w:val="20"/>
                <w:u w:val="none"/>
              </w:rPr>
              <w:t xml:space="preserve"> (eg. Of supporting document can be a replacement form)</w:t>
            </w:r>
          </w:p>
          <w:p w:rsidR="00453EDF" w:rsidRPr="00453EDF" w:rsidRDefault="00453EDF" w:rsidP="003826AF">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9</w:t>
            </w:r>
          </w:p>
        </w:tc>
        <w:tc>
          <w:tcPr>
            <w:tcW w:w="5253" w:type="dxa"/>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In the event of another date having to be set for repair work such date shall be agreed with the Laboratory Manager for the repair of the cabinet prior to departure from the facility. (Commitment to adherence to this requirement, require a yes answer)</w:t>
            </w:r>
          </w:p>
          <w:p w:rsidR="00453EDF" w:rsidRPr="00453EDF" w:rsidRDefault="00453EDF" w:rsidP="003826AF">
            <w:pPr>
              <w:pStyle w:val="Subtitle"/>
              <w:rPr>
                <w:rFonts w:ascii="Arial" w:hAnsi="Arial"/>
                <w:b w:val="0"/>
                <w:color w:val="000000" w:themeColor="text1"/>
                <w:sz w:val="20"/>
                <w:szCs w:val="20"/>
                <w:u w:val="none"/>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lastRenderedPageBreak/>
              <w:t>10</w:t>
            </w:r>
          </w:p>
        </w:tc>
        <w:tc>
          <w:tcPr>
            <w:tcW w:w="5253" w:type="dxa"/>
            <w:vAlign w:val="bottom"/>
          </w:tcPr>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Only appropriately calibrated equipment shall be used to certify or calibrate cabinets. Validation certificates or calibration logs for the said equipment must be submitted with this application.</w:t>
            </w:r>
          </w:p>
          <w:p w:rsidR="00453EDF" w:rsidRPr="00453EDF" w:rsidRDefault="00453EDF" w:rsidP="00AD08F7">
            <w:pPr>
              <w:jc w:val="both"/>
              <w:rPr>
                <w:rFonts w:ascii="Arial" w:hAnsi="Arial" w:cs="Arial"/>
                <w:color w:val="000000" w:themeColor="text1"/>
                <w:sz w:val="20"/>
                <w:szCs w:val="20"/>
              </w:rPr>
            </w:pPr>
            <w:r w:rsidRPr="00453EDF">
              <w:rPr>
                <w:rFonts w:ascii="Arial" w:hAnsi="Arial" w:cs="Arial"/>
                <w:color w:val="000000" w:themeColor="text1"/>
                <w:sz w:val="20"/>
                <w:szCs w:val="20"/>
              </w:rPr>
              <w:t xml:space="preserve">Bidders must provide calibration logs/certificates for the following: </w:t>
            </w:r>
          </w:p>
          <w:p w:rsidR="00453EDF" w:rsidRPr="00453EDF" w:rsidRDefault="00453EDF" w:rsidP="00AD08F7">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Photometer(s),</w:t>
            </w:r>
          </w:p>
          <w:p w:rsidR="00453EDF" w:rsidRPr="00453EDF" w:rsidRDefault="00453EDF" w:rsidP="00AD08F7">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Anemometer(s),</w:t>
            </w:r>
          </w:p>
          <w:p w:rsidR="00453EDF" w:rsidRPr="00453EDF" w:rsidRDefault="00453EDF" w:rsidP="00AD08F7">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Aerosol Generator(s) and</w:t>
            </w:r>
          </w:p>
          <w:p w:rsidR="00453EDF" w:rsidRPr="00453EDF" w:rsidRDefault="00453EDF" w:rsidP="00AD08F7">
            <w:pPr>
              <w:pStyle w:val="ListParagraph"/>
              <w:numPr>
                <w:ilvl w:val="0"/>
                <w:numId w:val="47"/>
              </w:numPr>
              <w:jc w:val="both"/>
              <w:rPr>
                <w:rFonts w:ascii="Arial" w:hAnsi="Arial" w:cs="Arial"/>
                <w:color w:val="000000" w:themeColor="text1"/>
                <w:sz w:val="20"/>
                <w:szCs w:val="20"/>
              </w:rPr>
            </w:pPr>
            <w:r w:rsidRPr="00453EDF">
              <w:rPr>
                <w:rFonts w:ascii="Arial" w:hAnsi="Arial" w:cs="Arial"/>
                <w:color w:val="000000" w:themeColor="text1"/>
                <w:sz w:val="20"/>
                <w:szCs w:val="20"/>
              </w:rPr>
              <w:t>Electrical measurement device(s).</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pStyle w:val="Subtitle"/>
              <w:jc w:val="center"/>
              <w:rPr>
                <w:rFonts w:ascii="Arial" w:hAnsi="Arial"/>
                <w:b w:val="0"/>
                <w:color w:val="000000" w:themeColor="text1"/>
                <w:sz w:val="20"/>
                <w:szCs w:val="20"/>
                <w:u w:val="none"/>
              </w:rPr>
            </w:pPr>
            <w:r w:rsidRPr="00453EDF">
              <w:rPr>
                <w:rFonts w:ascii="Arial" w:hAnsi="Arial"/>
                <w:b w:val="0"/>
                <w:color w:val="000000" w:themeColor="text1"/>
                <w:sz w:val="20"/>
                <w:szCs w:val="20"/>
                <w:u w:val="none"/>
              </w:rPr>
              <w:t>11</w:t>
            </w:r>
          </w:p>
        </w:tc>
        <w:tc>
          <w:tcPr>
            <w:tcW w:w="5253" w:type="dxa"/>
          </w:tcPr>
          <w:p w:rsidR="00453EDF" w:rsidRPr="00453EDF" w:rsidRDefault="00453EDF" w:rsidP="003826AF">
            <w:pPr>
              <w:pStyle w:val="Subtitle"/>
              <w:rPr>
                <w:rFonts w:ascii="Arial" w:hAnsi="Arial"/>
                <w:b w:val="0"/>
                <w:color w:val="000000" w:themeColor="text1"/>
                <w:sz w:val="20"/>
                <w:szCs w:val="20"/>
                <w:u w:val="none"/>
              </w:rPr>
            </w:pPr>
            <w:r w:rsidRPr="00453EDF">
              <w:rPr>
                <w:rFonts w:ascii="Arial" w:hAnsi="Arial"/>
                <w:b w:val="0"/>
                <w:color w:val="000000" w:themeColor="text1"/>
                <w:sz w:val="20"/>
                <w:szCs w:val="20"/>
                <w:u w:val="none"/>
              </w:rPr>
              <w:t>All the equipment stated in Mandatory 10 shall conform to all relevant standards and regulations applicable to Biological Safety Cabinets</w:t>
            </w:r>
            <w:r w:rsidR="00804DB2">
              <w:rPr>
                <w:rFonts w:ascii="Arial" w:hAnsi="Arial"/>
                <w:b w:val="0"/>
                <w:color w:val="000000" w:themeColor="text1"/>
                <w:sz w:val="20"/>
                <w:szCs w:val="20"/>
                <w:u w:val="none"/>
              </w:rPr>
              <w:t xml:space="preserve"> (Proof of certification for relevant standard must be provide for each equipment)</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pStyle w:val="Subtitle"/>
              <w:jc w:val="center"/>
              <w:rPr>
                <w:rFonts w:ascii="Arial" w:hAnsi="Arial"/>
                <w:b w:val="0"/>
                <w:color w:val="000000" w:themeColor="text1"/>
                <w:sz w:val="20"/>
                <w:szCs w:val="20"/>
                <w:u w:val="none"/>
              </w:rPr>
            </w:pPr>
            <w:r w:rsidRPr="00453EDF">
              <w:rPr>
                <w:rFonts w:ascii="Arial" w:hAnsi="Arial"/>
                <w:b w:val="0"/>
                <w:color w:val="000000" w:themeColor="text1"/>
                <w:sz w:val="20"/>
                <w:szCs w:val="20"/>
                <w:u w:val="none"/>
              </w:rPr>
              <w:t>12</w:t>
            </w:r>
          </w:p>
        </w:tc>
        <w:tc>
          <w:tcPr>
            <w:tcW w:w="5253" w:type="dxa"/>
          </w:tcPr>
          <w:p w:rsidR="00453EDF" w:rsidRPr="00453EDF" w:rsidRDefault="00453EDF" w:rsidP="003826AF">
            <w:pPr>
              <w:pStyle w:val="Subtitle"/>
              <w:rPr>
                <w:rFonts w:ascii="Arial" w:hAnsi="Arial"/>
                <w:b w:val="0"/>
                <w:color w:val="000000" w:themeColor="text1"/>
                <w:sz w:val="20"/>
                <w:szCs w:val="20"/>
                <w:u w:val="none"/>
              </w:rPr>
            </w:pPr>
            <w:r w:rsidRPr="00453EDF">
              <w:rPr>
                <w:rFonts w:ascii="Arial" w:hAnsi="Arial"/>
                <w:b w:val="0"/>
                <w:color w:val="000000" w:themeColor="text1"/>
                <w:sz w:val="20"/>
                <w:szCs w:val="20"/>
                <w:u w:val="none"/>
              </w:rPr>
              <w:t>When the Service/Validation of the Biological Safety Cabinet has been done, copies of all equipment calibration certificates shall form part of the documents handed / forwarded to the laboratory manager or representative with the validation report.</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13</w:t>
            </w:r>
          </w:p>
        </w:tc>
        <w:tc>
          <w:tcPr>
            <w:tcW w:w="5253" w:type="dxa"/>
          </w:tcPr>
          <w:p w:rsidR="00453EDF" w:rsidRPr="00453EDF" w:rsidRDefault="00453EDF" w:rsidP="00AD08F7">
            <w:pPr>
              <w:jc w:val="both"/>
              <w:rPr>
                <w:rFonts w:ascii="Arial" w:hAnsi="Arial" w:cs="Arial"/>
                <w:b/>
                <w:color w:val="000000" w:themeColor="text1"/>
                <w:sz w:val="20"/>
                <w:szCs w:val="20"/>
              </w:rPr>
            </w:pPr>
            <w:r w:rsidRPr="00453EDF">
              <w:rPr>
                <w:rFonts w:ascii="Arial" w:hAnsi="Arial" w:cs="Arial"/>
                <w:b/>
                <w:color w:val="000000" w:themeColor="text1"/>
                <w:sz w:val="20"/>
                <w:szCs w:val="20"/>
              </w:rPr>
              <w:t>General guidelines</w:t>
            </w:r>
          </w:p>
          <w:p w:rsidR="00453EDF" w:rsidRPr="00453EDF" w:rsidRDefault="00453EDF" w:rsidP="00AD08F7">
            <w:pPr>
              <w:pStyle w:val="Subtitle"/>
              <w:rPr>
                <w:rFonts w:ascii="Arial" w:hAnsi="Arial"/>
                <w:b w:val="0"/>
                <w:color w:val="000000" w:themeColor="text1"/>
                <w:sz w:val="20"/>
                <w:szCs w:val="20"/>
                <w:u w:val="none"/>
              </w:rPr>
            </w:pPr>
            <w:r w:rsidRPr="00453EDF">
              <w:rPr>
                <w:rFonts w:ascii="Arial" w:hAnsi="Arial"/>
                <w:b w:val="0"/>
                <w:color w:val="000000" w:themeColor="text1"/>
                <w:sz w:val="20"/>
                <w:szCs w:val="20"/>
                <w:u w:val="none"/>
              </w:rPr>
              <w:t>The Service Provider agrees that the NHLS/NICD reserves the right to award the RFQ on either a Partial or Whole basis</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14</w:t>
            </w:r>
          </w:p>
        </w:tc>
        <w:tc>
          <w:tcPr>
            <w:tcW w:w="5253" w:type="dxa"/>
          </w:tcPr>
          <w:p w:rsidR="00453EDF" w:rsidRPr="00453EDF" w:rsidRDefault="00453EDF" w:rsidP="00324306">
            <w:pPr>
              <w:jc w:val="both"/>
              <w:rPr>
                <w:rFonts w:ascii="Arial" w:hAnsi="Arial" w:cs="Arial"/>
                <w:b/>
                <w:color w:val="000000" w:themeColor="text1"/>
                <w:sz w:val="20"/>
                <w:szCs w:val="20"/>
              </w:rPr>
            </w:pPr>
            <w:r w:rsidRPr="00453EDF">
              <w:rPr>
                <w:rFonts w:ascii="Arial" w:hAnsi="Arial" w:cs="Arial"/>
                <w:b/>
                <w:color w:val="000000" w:themeColor="text1"/>
                <w:sz w:val="20"/>
                <w:szCs w:val="20"/>
              </w:rPr>
              <w:t>General guidelines</w:t>
            </w:r>
          </w:p>
          <w:p w:rsidR="00453EDF" w:rsidRPr="00453EDF" w:rsidRDefault="00453EDF" w:rsidP="00E22B9E">
            <w:pPr>
              <w:spacing w:after="200" w:line="276" w:lineRule="auto"/>
              <w:contextualSpacing/>
              <w:rPr>
                <w:rFonts w:ascii="Arial" w:hAnsi="Arial" w:cs="Arial"/>
                <w:b/>
                <w:color w:val="000000" w:themeColor="text1"/>
                <w:sz w:val="20"/>
                <w:szCs w:val="20"/>
              </w:rPr>
            </w:pPr>
            <w:r w:rsidRPr="00453EDF">
              <w:rPr>
                <w:rFonts w:ascii="Arial" w:hAnsi="Arial" w:cs="Arial"/>
                <w:color w:val="000000" w:themeColor="text1"/>
                <w:sz w:val="20"/>
                <w:szCs w:val="20"/>
              </w:rPr>
              <w:t>The Supplier hereby certifies that all electrical or mechanical equipment, which will be brought onto the site and used during the course of the Agreement, conforms to the relevant standards and regulations and is safe to use.  Further, The Supplier understands that should it come to the attention of the company’s officials/ representatives that such equipment does not meet the required standards, The NHLS may order cessation of work until such time as the equipment is repaired satisfactorily. This is to be in alignment to the Occupational Health and Safety Act no 85 of 1993 (OHSACT) and the regulations framed there under as well as the appropriate standards and specifications including VC 8041, SANS 12469:2002 and SANS 10226:2009</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15</w:t>
            </w:r>
          </w:p>
        </w:tc>
        <w:tc>
          <w:tcPr>
            <w:tcW w:w="5253" w:type="dxa"/>
            <w:vAlign w:val="bottom"/>
          </w:tcPr>
          <w:p w:rsidR="00453EDF" w:rsidRPr="00453EDF" w:rsidRDefault="00453EDF" w:rsidP="00E22B9E">
            <w:pPr>
              <w:jc w:val="both"/>
              <w:rPr>
                <w:rFonts w:ascii="Arial" w:hAnsi="Arial" w:cs="Arial"/>
                <w:b/>
                <w:color w:val="000000" w:themeColor="text1"/>
                <w:sz w:val="20"/>
                <w:szCs w:val="20"/>
              </w:rPr>
            </w:pPr>
            <w:r w:rsidRPr="00453EDF">
              <w:rPr>
                <w:rFonts w:ascii="Arial" w:hAnsi="Arial" w:cs="Arial"/>
                <w:b/>
                <w:color w:val="000000" w:themeColor="text1"/>
                <w:sz w:val="20"/>
                <w:szCs w:val="20"/>
              </w:rPr>
              <w:t>General guidelines</w:t>
            </w:r>
          </w:p>
          <w:p w:rsidR="00453EDF" w:rsidRPr="00453EDF" w:rsidRDefault="00453EDF" w:rsidP="00324306">
            <w:pPr>
              <w:spacing w:after="200" w:line="276" w:lineRule="auto"/>
              <w:contextualSpacing/>
              <w:jc w:val="both"/>
              <w:rPr>
                <w:rFonts w:ascii="Arial" w:hAnsi="Arial" w:cs="Arial"/>
                <w:color w:val="000000" w:themeColor="text1"/>
                <w:sz w:val="20"/>
                <w:szCs w:val="20"/>
              </w:rPr>
            </w:pPr>
            <w:r w:rsidRPr="00453EDF">
              <w:rPr>
                <w:rFonts w:ascii="Arial" w:hAnsi="Arial" w:cs="Arial"/>
                <w:color w:val="000000" w:themeColor="text1"/>
                <w:sz w:val="20"/>
                <w:szCs w:val="20"/>
              </w:rPr>
              <w:t>The NHLS reserves the right to monitor, audit or check any work, testing or validation process being performed or done on any equipment and also question any technician working on any piece of equipment to assess their level of competency and confirm that they are trained and understand the impact of their work as per the supplied supporting documentation. The NHLS also reserves the right to employ a third party to conduct the audit, check or tests. This monitoring may not necessitate the presence of the Service provider.</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rPr>
          <w:trHeight w:val="2175"/>
        </w:trPr>
        <w:tc>
          <w:tcPr>
            <w:tcW w:w="1418" w:type="dxa"/>
          </w:tcPr>
          <w:p w:rsidR="00453EDF" w:rsidRPr="00453EDF" w:rsidRDefault="00453EDF" w:rsidP="00453EDF">
            <w:pPr>
              <w:spacing w:after="200" w:line="276" w:lineRule="auto"/>
              <w:contextualSpacing/>
              <w:jc w:val="center"/>
              <w:rPr>
                <w:rFonts w:ascii="Arial" w:hAnsi="Arial" w:cs="Arial"/>
                <w:color w:val="000000" w:themeColor="text1"/>
                <w:sz w:val="20"/>
                <w:szCs w:val="20"/>
              </w:rPr>
            </w:pPr>
            <w:r w:rsidRPr="00453EDF">
              <w:rPr>
                <w:rFonts w:ascii="Arial" w:hAnsi="Arial" w:cs="Arial"/>
                <w:color w:val="000000" w:themeColor="text1"/>
                <w:sz w:val="20"/>
                <w:szCs w:val="20"/>
              </w:rPr>
              <w:t>16</w:t>
            </w:r>
          </w:p>
        </w:tc>
        <w:tc>
          <w:tcPr>
            <w:tcW w:w="5253" w:type="dxa"/>
            <w:vAlign w:val="bottom"/>
          </w:tcPr>
          <w:p w:rsidR="00453EDF" w:rsidRPr="00453EDF" w:rsidRDefault="00453EDF" w:rsidP="00324306">
            <w:pPr>
              <w:spacing w:after="200" w:line="276" w:lineRule="auto"/>
              <w:contextualSpacing/>
              <w:jc w:val="both"/>
              <w:rPr>
                <w:rFonts w:ascii="Arial" w:hAnsi="Arial" w:cs="Arial"/>
                <w:color w:val="000000" w:themeColor="text1"/>
                <w:sz w:val="20"/>
                <w:szCs w:val="20"/>
              </w:rPr>
            </w:pPr>
            <w:r w:rsidRPr="00453EDF">
              <w:rPr>
                <w:rFonts w:ascii="Arial" w:hAnsi="Arial" w:cs="Arial"/>
                <w:color w:val="000000" w:themeColor="text1"/>
                <w:sz w:val="20"/>
                <w:szCs w:val="20"/>
              </w:rPr>
              <w:t>No work shall be undertaken unless by a person trained as in Mandatory 1 above and the supplied supporting documentation is provided. If the person is deemed competent as per Mandatory 2 the person stated in Mandatory 1 shall sign off all work done on our premises</w:t>
            </w:r>
          </w:p>
          <w:p w:rsidR="00453EDF" w:rsidRPr="00453EDF" w:rsidRDefault="00453EDF" w:rsidP="00324306">
            <w:pPr>
              <w:jc w:val="both"/>
              <w:rPr>
                <w:rFonts w:ascii="Arial" w:hAnsi="Arial" w:cs="Arial"/>
                <w:b/>
                <w:color w:val="000000" w:themeColor="text1"/>
                <w:sz w:val="20"/>
                <w:szCs w:val="20"/>
              </w:rPr>
            </w:pPr>
            <w:r w:rsidRPr="00453EDF">
              <w:rPr>
                <w:rFonts w:ascii="Arial" w:hAnsi="Arial" w:cs="Arial"/>
                <w:color w:val="000000" w:themeColor="text1"/>
                <w:sz w:val="20"/>
                <w:szCs w:val="20"/>
              </w:rPr>
              <w:t>The Bidder shall supply a list of competent staff with their relevant training records/certificates as part of this bid</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spacing w:after="200" w:line="276" w:lineRule="auto"/>
              <w:contextualSpacing/>
              <w:jc w:val="center"/>
              <w:rPr>
                <w:rFonts w:ascii="Arial" w:hAnsi="Arial" w:cs="Arial"/>
                <w:color w:val="000000" w:themeColor="text1"/>
                <w:sz w:val="20"/>
                <w:szCs w:val="20"/>
              </w:rPr>
            </w:pPr>
            <w:r w:rsidRPr="00453EDF">
              <w:rPr>
                <w:rFonts w:ascii="Arial" w:hAnsi="Arial" w:cs="Arial"/>
                <w:color w:val="000000" w:themeColor="text1"/>
                <w:sz w:val="20"/>
                <w:szCs w:val="20"/>
              </w:rPr>
              <w:t>17</w:t>
            </w:r>
          </w:p>
        </w:tc>
        <w:tc>
          <w:tcPr>
            <w:tcW w:w="5253" w:type="dxa"/>
            <w:vAlign w:val="bottom"/>
          </w:tcPr>
          <w:p w:rsidR="00453EDF" w:rsidRPr="00453EDF" w:rsidRDefault="00453EDF" w:rsidP="00324306">
            <w:pPr>
              <w:spacing w:after="200" w:line="276" w:lineRule="auto"/>
              <w:contextualSpacing/>
              <w:jc w:val="both"/>
              <w:rPr>
                <w:rFonts w:ascii="Arial" w:hAnsi="Arial" w:cs="Arial"/>
                <w:color w:val="000000" w:themeColor="text1"/>
                <w:sz w:val="20"/>
                <w:szCs w:val="20"/>
              </w:rPr>
            </w:pPr>
            <w:r w:rsidRPr="00453EDF">
              <w:rPr>
                <w:rFonts w:ascii="Arial" w:hAnsi="Arial" w:cs="Arial"/>
                <w:color w:val="000000" w:themeColor="text1"/>
                <w:sz w:val="20"/>
                <w:szCs w:val="20"/>
              </w:rPr>
              <w:t xml:space="preserve">During the term of this agreement, The Supplier shall take all steps to ensure that the site remains clear of </w:t>
            </w:r>
            <w:r w:rsidRPr="00453EDF">
              <w:rPr>
                <w:rFonts w:ascii="Arial" w:hAnsi="Arial" w:cs="Arial"/>
                <w:color w:val="000000" w:themeColor="text1"/>
                <w:sz w:val="20"/>
                <w:szCs w:val="20"/>
              </w:rPr>
              <w:lastRenderedPageBreak/>
              <w:t xml:space="preserve">waste and any hazardous material or substances and on completion of such work. The bidder shall include a written demonstration that they are aware of </w:t>
            </w:r>
            <w:r w:rsidRPr="00453EDF">
              <w:rPr>
                <w:rFonts w:ascii="Arial" w:hAnsi="Arial" w:cs="Arial"/>
                <w:b/>
                <w:color w:val="000000" w:themeColor="text1"/>
                <w:sz w:val="20"/>
                <w:szCs w:val="20"/>
              </w:rPr>
              <w:t>Healthcare Risk Waste management</w:t>
            </w:r>
            <w:r w:rsidRPr="00453EDF">
              <w:rPr>
                <w:rFonts w:ascii="Arial" w:hAnsi="Arial" w:cs="Arial"/>
                <w:color w:val="000000" w:themeColor="text1"/>
                <w:sz w:val="20"/>
                <w:szCs w:val="20"/>
              </w:rPr>
              <w:t>.  The Supplier shall make good and leave the site and equipment serviced clean and tidy (including fumigation residues, tape marks etc.).</w:t>
            </w:r>
          </w:p>
          <w:p w:rsidR="00453EDF" w:rsidRPr="00453EDF" w:rsidRDefault="00453EDF" w:rsidP="00324306">
            <w:pPr>
              <w:jc w:val="both"/>
              <w:rPr>
                <w:rFonts w:ascii="Arial" w:hAnsi="Arial" w:cs="Arial"/>
                <w:b/>
                <w:color w:val="000000" w:themeColor="text1"/>
                <w:sz w:val="20"/>
                <w:szCs w:val="20"/>
              </w:rPr>
            </w:pPr>
            <w:r w:rsidRPr="00453EDF">
              <w:rPr>
                <w:rFonts w:ascii="Arial" w:hAnsi="Arial" w:cs="Arial"/>
                <w:color w:val="000000" w:themeColor="text1"/>
                <w:sz w:val="20"/>
                <w:szCs w:val="20"/>
              </w:rPr>
              <w:t xml:space="preserve"> Please note, the supplier shall provide all consumables other than the necessary Laboratory PPE as determined the documented risk assessment applicable to that facility (including cleaning materials etc.)</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lastRenderedPageBreak/>
              <w:t>18</w:t>
            </w:r>
          </w:p>
        </w:tc>
        <w:tc>
          <w:tcPr>
            <w:tcW w:w="5253" w:type="dxa"/>
            <w:vAlign w:val="bottom"/>
          </w:tcPr>
          <w:p w:rsidR="00453EDF" w:rsidRPr="00453EDF" w:rsidRDefault="00453EDF" w:rsidP="00453EDF">
            <w:pPr>
              <w:jc w:val="both"/>
              <w:rPr>
                <w:rFonts w:ascii="Arial" w:hAnsi="Arial" w:cs="Arial"/>
                <w:color w:val="000000" w:themeColor="text1"/>
                <w:sz w:val="20"/>
                <w:szCs w:val="20"/>
              </w:rPr>
            </w:pPr>
            <w:r w:rsidRPr="00453EDF">
              <w:rPr>
                <w:rFonts w:ascii="Arial" w:hAnsi="Arial" w:cs="Arial"/>
                <w:b/>
                <w:color w:val="000000" w:themeColor="text1"/>
                <w:sz w:val="20"/>
                <w:szCs w:val="20"/>
              </w:rPr>
              <w:t>Compulsory documentation to be submitted with this RFQ</w:t>
            </w:r>
            <w:r w:rsidRPr="00453EDF">
              <w:rPr>
                <w:rFonts w:ascii="Arial" w:hAnsi="Arial" w:cs="Arial"/>
                <w:color w:val="000000" w:themeColor="text1"/>
                <w:sz w:val="20"/>
                <w:szCs w:val="20"/>
              </w:rPr>
              <w:t>:</w:t>
            </w:r>
          </w:p>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Maintenance procedure for class 2 a microbiological safety cabinet sold with homologations certificate. This procedure must include all the relevant steps (step by step) to complete a validation of a Biological Safety Cabinet that was manufactured in South African borders.</w:t>
            </w:r>
          </w:p>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Maintenance procedure for class 2 a microbiological safety cabinet sold with a sales permit.</w:t>
            </w:r>
          </w:p>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This procedure must include all the relevant steps (step by step) to complete a validation of a Biological Safety Cabinet that was manufactured outside of South African borders.</w:t>
            </w:r>
          </w:p>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Details of a proposed method of ensuring that booking for appointments for decontamination and validation including repairs.</w:t>
            </w:r>
          </w:p>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Decontamination procedure for decontaminating Biological Safety Cabinets.</w:t>
            </w:r>
          </w:p>
          <w:p w:rsidR="00453EDF" w:rsidRPr="00453EDF" w:rsidRDefault="00453EDF" w:rsidP="00453EDF">
            <w:pPr>
              <w:jc w:val="both"/>
              <w:rPr>
                <w:rFonts w:ascii="Arial" w:hAnsi="Arial" w:cs="Arial"/>
                <w:color w:val="000000" w:themeColor="text1"/>
                <w:sz w:val="20"/>
                <w:szCs w:val="20"/>
              </w:rPr>
            </w:pPr>
          </w:p>
          <w:p w:rsidR="00453EDF" w:rsidRPr="00453EDF" w:rsidRDefault="00453EDF" w:rsidP="00453EDF">
            <w:pPr>
              <w:jc w:val="both"/>
              <w:rPr>
                <w:rFonts w:ascii="Arial" w:hAnsi="Arial" w:cs="Arial"/>
                <w:b/>
                <w:color w:val="FF0000"/>
                <w:sz w:val="20"/>
                <w:szCs w:val="20"/>
              </w:rPr>
            </w:pPr>
            <w:r w:rsidRPr="00453EDF">
              <w:rPr>
                <w:rFonts w:ascii="Arial" w:hAnsi="Arial" w:cs="Arial"/>
                <w:b/>
                <w:color w:val="000000" w:themeColor="text1"/>
                <w:sz w:val="20"/>
                <w:szCs w:val="20"/>
              </w:rPr>
              <w:t>All four (4) procedures/methods must accompany this bid.</w:t>
            </w: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r w:rsidR="00453EDF" w:rsidRPr="00453EDF" w:rsidTr="00453EDF">
        <w:tc>
          <w:tcPr>
            <w:tcW w:w="1418" w:type="dxa"/>
          </w:tcPr>
          <w:p w:rsidR="00453EDF" w:rsidRPr="00453EDF" w:rsidRDefault="00453EDF" w:rsidP="00453EDF">
            <w:pPr>
              <w:jc w:val="center"/>
              <w:rPr>
                <w:rFonts w:ascii="Arial" w:hAnsi="Arial" w:cs="Arial"/>
                <w:color w:val="000000" w:themeColor="text1"/>
                <w:sz w:val="20"/>
                <w:szCs w:val="20"/>
              </w:rPr>
            </w:pPr>
            <w:r w:rsidRPr="00453EDF">
              <w:rPr>
                <w:rFonts w:ascii="Arial" w:hAnsi="Arial" w:cs="Arial"/>
                <w:color w:val="000000" w:themeColor="text1"/>
                <w:sz w:val="20"/>
                <w:szCs w:val="20"/>
              </w:rPr>
              <w:t>19</w:t>
            </w:r>
          </w:p>
        </w:tc>
        <w:tc>
          <w:tcPr>
            <w:tcW w:w="5253" w:type="dxa"/>
            <w:vAlign w:val="bottom"/>
          </w:tcPr>
          <w:p w:rsidR="00453EDF" w:rsidRPr="00453EDF" w:rsidRDefault="00453EDF" w:rsidP="00453EDF">
            <w:pPr>
              <w:jc w:val="both"/>
              <w:rPr>
                <w:rFonts w:ascii="Arial" w:hAnsi="Arial" w:cs="Arial"/>
                <w:color w:val="000000" w:themeColor="text1"/>
                <w:sz w:val="20"/>
                <w:szCs w:val="20"/>
              </w:rPr>
            </w:pPr>
            <w:r w:rsidRPr="00453EDF">
              <w:rPr>
                <w:rFonts w:ascii="Arial" w:hAnsi="Arial" w:cs="Arial"/>
                <w:color w:val="000000" w:themeColor="text1"/>
                <w:sz w:val="20"/>
                <w:szCs w:val="20"/>
              </w:rPr>
              <w:t>The bidder shall commence work at NICD within a week of being awarded this RFQ.</w:t>
            </w:r>
          </w:p>
          <w:p w:rsidR="00453EDF" w:rsidRPr="00453EDF" w:rsidRDefault="00453EDF" w:rsidP="00453EDF">
            <w:pPr>
              <w:jc w:val="both"/>
              <w:rPr>
                <w:rFonts w:ascii="Arial" w:hAnsi="Arial" w:cs="Arial"/>
                <w:b/>
                <w:color w:val="000000" w:themeColor="text1"/>
                <w:sz w:val="20"/>
                <w:szCs w:val="20"/>
              </w:rPr>
            </w:pPr>
          </w:p>
        </w:tc>
        <w:tc>
          <w:tcPr>
            <w:tcW w:w="1722" w:type="dxa"/>
          </w:tcPr>
          <w:p w:rsidR="00453EDF" w:rsidRPr="00453EDF" w:rsidRDefault="00453EDF" w:rsidP="008B1D69">
            <w:pPr>
              <w:rPr>
                <w:rFonts w:ascii="Arial" w:hAnsi="Arial" w:cs="Arial"/>
                <w:b/>
                <w:sz w:val="20"/>
                <w:szCs w:val="20"/>
              </w:rPr>
            </w:pPr>
          </w:p>
        </w:tc>
        <w:tc>
          <w:tcPr>
            <w:tcW w:w="1770" w:type="dxa"/>
          </w:tcPr>
          <w:p w:rsidR="00453EDF" w:rsidRPr="00453EDF" w:rsidRDefault="00453EDF" w:rsidP="008B1D69">
            <w:pPr>
              <w:rPr>
                <w:rFonts w:ascii="Arial" w:hAnsi="Arial" w:cs="Arial"/>
                <w:b/>
                <w:sz w:val="20"/>
                <w:szCs w:val="20"/>
              </w:rPr>
            </w:pPr>
          </w:p>
        </w:tc>
      </w:tr>
    </w:tbl>
    <w:p w:rsidR="00743338" w:rsidRPr="00453EDF" w:rsidRDefault="00743338" w:rsidP="00743338">
      <w:pPr>
        <w:rPr>
          <w:rFonts w:ascii="Arial" w:hAnsi="Arial" w:cs="Arial"/>
          <w:b/>
          <w:sz w:val="20"/>
          <w:szCs w:val="20"/>
        </w:rPr>
      </w:pPr>
    </w:p>
    <w:p w:rsidR="00743338" w:rsidRPr="00743338" w:rsidRDefault="00743338" w:rsidP="00743338">
      <w:pPr>
        <w:rPr>
          <w:rFonts w:ascii="Verdana" w:hAnsi="Verdana" w:cs="Arial"/>
          <w:b/>
          <w:sz w:val="20"/>
          <w:szCs w:val="20"/>
        </w:rPr>
      </w:pPr>
    </w:p>
    <w:p w:rsidR="000A3644" w:rsidRDefault="000A3644" w:rsidP="000A3644">
      <w:pPr>
        <w:pStyle w:val="ListParagraph"/>
        <w:spacing w:line="360" w:lineRule="auto"/>
        <w:rPr>
          <w:rFonts w:ascii="Verdana" w:hAnsi="Verdana"/>
          <w:bCs/>
          <w:sz w:val="20"/>
          <w:szCs w:val="20"/>
        </w:rPr>
      </w:pPr>
    </w:p>
    <w:p w:rsidR="000A3644" w:rsidRPr="000A3644" w:rsidRDefault="000A3644" w:rsidP="000A3644">
      <w:pPr>
        <w:ind w:left="1" w:firstLine="1"/>
        <w:rPr>
          <w:rFonts w:ascii="Verdana" w:hAnsi="Verdana"/>
          <w:sz w:val="20"/>
          <w:szCs w:val="20"/>
        </w:rPr>
      </w:pPr>
    </w:p>
    <w:p w:rsidR="0095331F" w:rsidRPr="007D7EDE" w:rsidRDefault="0095331F" w:rsidP="006B512E">
      <w:pPr>
        <w:pStyle w:val="AnnexH1"/>
        <w:tabs>
          <w:tab w:val="num" w:pos="1560"/>
        </w:tabs>
        <w:ind w:left="709" w:hanging="709"/>
        <w:rPr>
          <w:color w:val="000080"/>
          <w:sz w:val="36"/>
          <w:szCs w:val="36"/>
        </w:rPr>
      </w:pPr>
      <w:bookmarkStart w:id="11" w:name="_Toc505257152"/>
      <w:r w:rsidRPr="007D7EDE">
        <w:rPr>
          <w:color w:val="000080"/>
          <w:sz w:val="36"/>
          <w:szCs w:val="36"/>
        </w:rPr>
        <w:lastRenderedPageBreak/>
        <w:t xml:space="preserve">Preferential </w:t>
      </w:r>
      <w:r w:rsidR="00C60224" w:rsidRPr="007D7EDE">
        <w:rPr>
          <w:color w:val="000080"/>
          <w:sz w:val="36"/>
          <w:szCs w:val="36"/>
        </w:rPr>
        <w:t xml:space="preserve">Procurement Claim </w:t>
      </w:r>
      <w:r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EE020B">
        <w:rPr>
          <w:rFonts w:ascii="Verdana" w:hAnsi="Verdana"/>
          <w:sz w:val="20"/>
          <w:szCs w:val="20"/>
        </w:rPr>
        <w:t xml:space="preserve">500 </w:t>
      </w:r>
      <w:r w:rsidRPr="00166A4A">
        <w:rPr>
          <w:rFonts w:ascii="Verdana" w:hAnsi="Verdana"/>
          <w:sz w:val="20"/>
          <w:szCs w:val="20"/>
        </w:rPr>
        <w:t xml:space="preserve"> 000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80/20 preference points</w:t>
      </w:r>
      <w:r w:rsidRPr="00166A4A">
        <w:rPr>
          <w:rFonts w:ascii="Verdana" w:hAnsi="Verdana"/>
          <w:sz w:val="20"/>
          <w:szCs w:val="20"/>
          <w:lang w:val="en-GB"/>
        </w:rPr>
        <w:t>system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advertisedcompetitive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01431B"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01431B"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sz w:val="20"/>
          <w:szCs w:val="20"/>
        </w:rPr>
        <w:t xml:space="preserve">means any </w:t>
      </w:r>
      <w:r w:rsidR="00166A4A" w:rsidRPr="00166A4A">
        <w:rPr>
          <w:rFonts w:ascii="Verdana" w:hAnsi="Verdana" w:cs="Arial"/>
          <w:sz w:val="20"/>
          <w:szCs w:val="20"/>
        </w:rPr>
        <w:t>enterprise with</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Practiceon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Points scored must be rounded off to the nearest</w:t>
      </w:r>
      <w:r w:rsidR="00834598">
        <w:rPr>
          <w:rFonts w:ascii="Verdana" w:hAnsi="Verdana"/>
          <w:sz w:val="20"/>
          <w:szCs w:val="20"/>
        </w:rPr>
        <w:t>two(</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bidmust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havescored equal points including equal preference points for B-BBEE, the successful bid mustbe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respects,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2929809"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5E5A14"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51F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505257153"/>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4A26E2">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4A26E2">
      <w:pPr>
        <w:pStyle w:val="Default"/>
        <w:spacing w:beforeLines="200" w:before="480" w:after="80"/>
        <w:ind w:hanging="480"/>
        <w:rPr>
          <w:rFonts w:ascii="Verdana" w:hAnsi="Verdana"/>
          <w:b/>
          <w:sz w:val="16"/>
          <w:szCs w:val="16"/>
          <w:highlight w:val="yellow"/>
        </w:rPr>
      </w:pPr>
    </w:p>
    <w:p w:rsidR="009B3B76" w:rsidRDefault="009B3B76" w:rsidP="004A26E2">
      <w:pPr>
        <w:pStyle w:val="Default"/>
        <w:spacing w:beforeLines="200" w:before="480" w:after="80"/>
        <w:ind w:hanging="480"/>
        <w:rPr>
          <w:rFonts w:ascii="Verdana" w:hAnsi="Verdana"/>
          <w:b/>
          <w:sz w:val="16"/>
          <w:szCs w:val="16"/>
          <w:highlight w:val="yellow"/>
        </w:rPr>
      </w:pPr>
    </w:p>
    <w:p w:rsidR="00B73F9C" w:rsidRDefault="006749B3" w:rsidP="004A26E2">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505257154"/>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505257155"/>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B0" w:rsidRDefault="00A04CB0">
      <w:r>
        <w:separator/>
      </w:r>
    </w:p>
    <w:p w:rsidR="00A04CB0" w:rsidRDefault="00A04CB0"/>
  </w:endnote>
  <w:endnote w:type="continuationSeparator" w:id="0">
    <w:p w:rsidR="00A04CB0" w:rsidRDefault="00A04CB0">
      <w:r>
        <w:continuationSeparator/>
      </w:r>
    </w:p>
    <w:p w:rsidR="00A04CB0" w:rsidRDefault="00A04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9F" w:rsidRDefault="0028719F"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8719F" w:rsidRDefault="0028719F"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28719F" w:rsidRPr="00487022" w:rsidTr="007D7EDE">
      <w:trPr>
        <w:trHeight w:val="182"/>
        <w:jc w:val="center"/>
      </w:trPr>
      <w:tc>
        <w:tcPr>
          <w:tcW w:w="3373" w:type="dxa"/>
        </w:tcPr>
        <w:p w:rsidR="0028719F" w:rsidRPr="00487022" w:rsidRDefault="0028719F" w:rsidP="007F654A">
          <w:pPr>
            <w:pStyle w:val="Footer"/>
            <w:tabs>
              <w:tab w:val="clear" w:pos="4153"/>
              <w:tab w:val="clear" w:pos="8306"/>
            </w:tabs>
            <w:ind w:right="360"/>
            <w:rPr>
              <w:rFonts w:ascii="Verdana" w:hAnsi="Verdana" w:cs="Arial"/>
              <w:sz w:val="16"/>
              <w:szCs w:val="16"/>
            </w:rPr>
          </w:pPr>
        </w:p>
      </w:tc>
      <w:tc>
        <w:tcPr>
          <w:tcW w:w="2861" w:type="dxa"/>
        </w:tcPr>
        <w:p w:rsidR="0028719F" w:rsidRPr="00487022" w:rsidRDefault="0028719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8719F" w:rsidRPr="00487022" w:rsidRDefault="0028719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A46F1">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A46F1">
            <w:rPr>
              <w:rStyle w:val="PageNumber"/>
              <w:rFonts w:ascii="Verdana" w:hAnsi="Verdana" w:cs="Arial"/>
              <w:noProof/>
              <w:sz w:val="16"/>
              <w:szCs w:val="16"/>
            </w:rPr>
            <w:t>41</w:t>
          </w:r>
          <w:r w:rsidRPr="00D27B11">
            <w:rPr>
              <w:rStyle w:val="PageNumber"/>
              <w:rFonts w:ascii="Verdana" w:hAnsi="Verdana" w:cs="Arial"/>
              <w:sz w:val="16"/>
              <w:szCs w:val="16"/>
            </w:rPr>
            <w:fldChar w:fldCharType="end"/>
          </w:r>
        </w:p>
      </w:tc>
    </w:tr>
  </w:tbl>
  <w:p w:rsidR="0028719F" w:rsidRDefault="002871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B0" w:rsidRDefault="00A04CB0">
      <w:r>
        <w:separator/>
      </w:r>
    </w:p>
    <w:p w:rsidR="00A04CB0" w:rsidRDefault="00A04CB0"/>
  </w:footnote>
  <w:footnote w:type="continuationSeparator" w:id="0">
    <w:p w:rsidR="00A04CB0" w:rsidRDefault="00A04CB0">
      <w:r>
        <w:continuationSeparator/>
      </w:r>
    </w:p>
    <w:p w:rsidR="00A04CB0" w:rsidRDefault="00A04CB0"/>
  </w:footnote>
  <w:footnote w:id="1">
    <w:p w:rsidR="0028719F" w:rsidRPr="00960C0A" w:rsidRDefault="0028719F"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28719F" w:rsidRDefault="0028719F"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28719F" w:rsidRDefault="0028719F"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28719F" w:rsidRDefault="0028719F"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28719F" w:rsidRDefault="0028719F"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28719F" w:rsidRPr="00175032" w:rsidRDefault="0028719F" w:rsidP="00776112">
      <w:pPr>
        <w:numPr>
          <w:ilvl w:val="0"/>
          <w:numId w:val="24"/>
        </w:numPr>
        <w:tabs>
          <w:tab w:val="left" w:pos="709"/>
        </w:tabs>
        <w:ind w:left="709" w:hanging="567"/>
        <w:jc w:val="both"/>
        <w:rPr>
          <w:sz w:val="16"/>
          <w:szCs w:val="16"/>
        </w:rPr>
      </w:pPr>
      <w:r w:rsidRPr="00960C0A">
        <w:rPr>
          <w:sz w:val="16"/>
          <w:szCs w:val="16"/>
        </w:rPr>
        <w:t>Parliament.</w:t>
      </w:r>
    </w:p>
    <w:p w:rsidR="0028719F" w:rsidRPr="00960C0A" w:rsidRDefault="0028719F"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9F" w:rsidRDefault="0028719F"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7F5F"/>
    <w:multiLevelType w:val="hybridMultilevel"/>
    <w:tmpl w:val="54B4DD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475E1D"/>
    <w:multiLevelType w:val="hybridMultilevel"/>
    <w:tmpl w:val="92507B34"/>
    <w:lvl w:ilvl="0" w:tplc="ECC833B2">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4451A76"/>
    <w:multiLevelType w:val="hybridMultilevel"/>
    <w:tmpl w:val="83EC6594"/>
    <w:lvl w:ilvl="0" w:tplc="6B78563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B6D2E38"/>
    <w:multiLevelType w:val="hybridMultilevel"/>
    <w:tmpl w:val="7DE8BF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C30A02"/>
    <w:multiLevelType w:val="hybridMultilevel"/>
    <w:tmpl w:val="A080D93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5"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6" w15:restartNumberingAfterBreak="0">
    <w:nsid w:val="36D961AA"/>
    <w:multiLevelType w:val="hybridMultilevel"/>
    <w:tmpl w:val="7812E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84D6DBC"/>
    <w:multiLevelType w:val="hybridMultilevel"/>
    <w:tmpl w:val="544A1A90"/>
    <w:lvl w:ilvl="0" w:tplc="A9F6E3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6"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28628A"/>
    <w:multiLevelType w:val="hybridMultilevel"/>
    <w:tmpl w:val="0536678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5803605"/>
    <w:multiLevelType w:val="hybridMultilevel"/>
    <w:tmpl w:val="43CE9172"/>
    <w:lvl w:ilvl="0" w:tplc="1C090015">
      <w:start w:val="1"/>
      <w:numFmt w:val="upperLetter"/>
      <w:lvlText w:val="%1."/>
      <w:lvlJc w:val="left"/>
      <w:pPr>
        <w:tabs>
          <w:tab w:val="num" w:pos="360"/>
        </w:tabs>
        <w:ind w:left="360" w:hanging="360"/>
      </w:pPr>
    </w:lvl>
    <w:lvl w:ilvl="1" w:tplc="1C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6"/>
  </w:num>
  <w:num w:numId="4">
    <w:abstractNumId w:val="27"/>
  </w:num>
  <w:num w:numId="5">
    <w:abstractNumId w:val="4"/>
  </w:num>
  <w:num w:numId="6">
    <w:abstractNumId w:val="16"/>
  </w:num>
  <w:num w:numId="7">
    <w:abstractNumId w:val="25"/>
  </w:num>
  <w:num w:numId="8">
    <w:abstractNumId w:val="42"/>
  </w:num>
  <w:num w:numId="9">
    <w:abstractNumId w:val="9"/>
  </w:num>
  <w:num w:numId="10">
    <w:abstractNumId w:val="8"/>
  </w:num>
  <w:num w:numId="11">
    <w:abstractNumId w:val="24"/>
  </w:num>
  <w:num w:numId="12">
    <w:abstractNumId w:val="45"/>
  </w:num>
  <w:num w:numId="13">
    <w:abstractNumId w:val="35"/>
  </w:num>
  <w:num w:numId="14">
    <w:abstractNumId w:val="34"/>
  </w:num>
  <w:num w:numId="15">
    <w:abstractNumId w:val="23"/>
  </w:num>
  <w:num w:numId="16">
    <w:abstractNumId w:val="32"/>
  </w:num>
  <w:num w:numId="17">
    <w:abstractNumId w:val="39"/>
  </w:num>
  <w:num w:numId="18">
    <w:abstractNumId w:val="2"/>
  </w:num>
  <w:num w:numId="19">
    <w:abstractNumId w:val="20"/>
  </w:num>
  <w:num w:numId="20">
    <w:abstractNumId w:val="10"/>
  </w:num>
  <w:num w:numId="21">
    <w:abstractNumId w:val="11"/>
  </w:num>
  <w:num w:numId="22">
    <w:abstractNumId w:val="28"/>
  </w:num>
  <w:num w:numId="23">
    <w:abstractNumId w:val="0"/>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3"/>
  </w:num>
  <w:num w:numId="30">
    <w:abstractNumId w:val="37"/>
  </w:num>
  <w:num w:numId="31">
    <w:abstractNumId w:val="29"/>
  </w:num>
  <w:num w:numId="32">
    <w:abstractNumId w:val="30"/>
  </w:num>
  <w:num w:numId="33">
    <w:abstractNumId w:val="21"/>
  </w:num>
  <w:num w:numId="34">
    <w:abstractNumId w:val="33"/>
  </w:num>
  <w:num w:numId="35">
    <w:abstractNumId w:val="17"/>
  </w:num>
  <w:num w:numId="36">
    <w:abstractNumId w:val="13"/>
  </w:num>
  <w:num w:numId="37">
    <w:abstractNumId w:val="22"/>
  </w:num>
  <w:num w:numId="38">
    <w:abstractNumId w:val="3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9"/>
  </w:num>
  <w:num w:numId="45">
    <w:abstractNumId w:val="31"/>
  </w:num>
  <w:num w:numId="4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31B"/>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4894"/>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12"/>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598C"/>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8719F"/>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5773"/>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4306"/>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6AF"/>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7E3"/>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EDF"/>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6E2"/>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56F4"/>
    <w:rsid w:val="005064EB"/>
    <w:rsid w:val="00510AC4"/>
    <w:rsid w:val="0051155B"/>
    <w:rsid w:val="005126A4"/>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E5A14"/>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B6A"/>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E711D"/>
    <w:rsid w:val="007F2357"/>
    <w:rsid w:val="007F3BE7"/>
    <w:rsid w:val="007F46FF"/>
    <w:rsid w:val="007F5405"/>
    <w:rsid w:val="007F55FC"/>
    <w:rsid w:val="007F654A"/>
    <w:rsid w:val="007F6D1A"/>
    <w:rsid w:val="007F7BE9"/>
    <w:rsid w:val="00800DF0"/>
    <w:rsid w:val="00801D00"/>
    <w:rsid w:val="00802852"/>
    <w:rsid w:val="00804807"/>
    <w:rsid w:val="008048E1"/>
    <w:rsid w:val="00804DB2"/>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1D69"/>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4EF7"/>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CB0"/>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799"/>
    <w:rsid w:val="00A24C00"/>
    <w:rsid w:val="00A24CAF"/>
    <w:rsid w:val="00A25AFD"/>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D4B"/>
    <w:rsid w:val="00A86EC7"/>
    <w:rsid w:val="00A879F3"/>
    <w:rsid w:val="00A87B0A"/>
    <w:rsid w:val="00A92857"/>
    <w:rsid w:val="00A929BD"/>
    <w:rsid w:val="00A95050"/>
    <w:rsid w:val="00A9548F"/>
    <w:rsid w:val="00AA05B7"/>
    <w:rsid w:val="00AA1EE7"/>
    <w:rsid w:val="00AA28D2"/>
    <w:rsid w:val="00AA46F1"/>
    <w:rsid w:val="00AA7F9F"/>
    <w:rsid w:val="00AB27AB"/>
    <w:rsid w:val="00AB27E5"/>
    <w:rsid w:val="00AB4372"/>
    <w:rsid w:val="00AB5BC9"/>
    <w:rsid w:val="00AB5CFA"/>
    <w:rsid w:val="00AB664A"/>
    <w:rsid w:val="00AB7CAF"/>
    <w:rsid w:val="00AC019F"/>
    <w:rsid w:val="00AC04D0"/>
    <w:rsid w:val="00AC0F0B"/>
    <w:rsid w:val="00AC118E"/>
    <w:rsid w:val="00AC20D8"/>
    <w:rsid w:val="00AC2927"/>
    <w:rsid w:val="00AC35F8"/>
    <w:rsid w:val="00AC3B00"/>
    <w:rsid w:val="00AC3D96"/>
    <w:rsid w:val="00AC4F41"/>
    <w:rsid w:val="00AC5BDD"/>
    <w:rsid w:val="00AC6B35"/>
    <w:rsid w:val="00AC6C67"/>
    <w:rsid w:val="00AC7517"/>
    <w:rsid w:val="00AC77BC"/>
    <w:rsid w:val="00AC79E1"/>
    <w:rsid w:val="00AD08F7"/>
    <w:rsid w:val="00AD0E29"/>
    <w:rsid w:val="00AD15DC"/>
    <w:rsid w:val="00AD187D"/>
    <w:rsid w:val="00AD3495"/>
    <w:rsid w:val="00AD47A2"/>
    <w:rsid w:val="00AD4A9F"/>
    <w:rsid w:val="00AD5BC2"/>
    <w:rsid w:val="00AD5DC6"/>
    <w:rsid w:val="00AD6881"/>
    <w:rsid w:val="00AD7BEC"/>
    <w:rsid w:val="00AE01BE"/>
    <w:rsid w:val="00AE0504"/>
    <w:rsid w:val="00AE0E91"/>
    <w:rsid w:val="00AE206A"/>
    <w:rsid w:val="00AE2801"/>
    <w:rsid w:val="00AE3361"/>
    <w:rsid w:val="00AE4BB0"/>
    <w:rsid w:val="00AE4D63"/>
    <w:rsid w:val="00AE4FAE"/>
    <w:rsid w:val="00AE5512"/>
    <w:rsid w:val="00AE5B22"/>
    <w:rsid w:val="00AE7099"/>
    <w:rsid w:val="00AF07F2"/>
    <w:rsid w:val="00AF12DA"/>
    <w:rsid w:val="00AF2C5F"/>
    <w:rsid w:val="00AF3B67"/>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7F9"/>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2121"/>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6FCC"/>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BF6F8E"/>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4C16"/>
    <w:rsid w:val="00C251F7"/>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60224"/>
    <w:rsid w:val="00C61E45"/>
    <w:rsid w:val="00C621B7"/>
    <w:rsid w:val="00C6278C"/>
    <w:rsid w:val="00C62C96"/>
    <w:rsid w:val="00C65172"/>
    <w:rsid w:val="00C65882"/>
    <w:rsid w:val="00C66E0E"/>
    <w:rsid w:val="00C6783C"/>
    <w:rsid w:val="00C67B37"/>
    <w:rsid w:val="00C72381"/>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433F"/>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BB9"/>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20C"/>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9E5"/>
    <w:rsid w:val="00E17C4D"/>
    <w:rsid w:val="00E20170"/>
    <w:rsid w:val="00E2046D"/>
    <w:rsid w:val="00E207B6"/>
    <w:rsid w:val="00E20810"/>
    <w:rsid w:val="00E21C1B"/>
    <w:rsid w:val="00E22B9E"/>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5B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4BE2"/>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215"/>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463E"/>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467"/>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8F5"/>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EEF5A"/>
  <w15:docId w15:val="{8B590B1D-B33B-4419-A909-D8514E30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970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8347890">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5069638">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12658978">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11806779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2042439">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15295240">
      <w:bodyDiv w:val="1"/>
      <w:marLeft w:val="0"/>
      <w:marRight w:val="0"/>
      <w:marTop w:val="0"/>
      <w:marBottom w:val="0"/>
      <w:divBdr>
        <w:top w:val="none" w:sz="0" w:space="0" w:color="auto"/>
        <w:left w:val="none" w:sz="0" w:space="0" w:color="auto"/>
        <w:bottom w:val="none" w:sz="0" w:space="0" w:color="auto"/>
        <w:right w:val="none" w:sz="0" w:space="0" w:color="auto"/>
      </w:divBdr>
    </w:div>
    <w:div w:id="204695230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957C1-3EE2-4835-A449-DB9F24EB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10993</Words>
  <Characters>62661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73507</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3</cp:revision>
  <cp:lastPrinted>2017-05-09T09:16:00Z</cp:lastPrinted>
  <dcterms:created xsi:type="dcterms:W3CDTF">2018-11-05T11:30:00Z</dcterms:created>
  <dcterms:modified xsi:type="dcterms:W3CDTF">2018-11-05T11:30:00Z</dcterms:modified>
</cp:coreProperties>
</file>