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573620" w:rsidRDefault="005746CD" w:rsidP="00C56CC6">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RFB </w:t>
            </w:r>
            <w:r w:rsidR="00C7369D" w:rsidRPr="00573620">
              <w:rPr>
                <w:rFonts w:ascii="Verdana" w:hAnsi="Verdana"/>
                <w:b/>
                <w:color w:val="000000"/>
                <w:sz w:val="20"/>
                <w:szCs w:val="20"/>
                <w:lang w:val="en-GB"/>
              </w:rPr>
              <w:t>0</w:t>
            </w:r>
            <w:r w:rsidR="00C56CC6">
              <w:rPr>
                <w:rFonts w:ascii="Verdana" w:hAnsi="Verdana"/>
                <w:b/>
                <w:color w:val="000000"/>
                <w:sz w:val="20"/>
                <w:szCs w:val="20"/>
                <w:lang w:val="en-GB"/>
              </w:rPr>
              <w:t>43</w:t>
            </w:r>
            <w:r w:rsidR="00796165" w:rsidRPr="00573620">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4E417D" w:rsidRDefault="004E417D" w:rsidP="00C56CC6">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4E417D">
              <w:rPr>
                <w:rFonts w:ascii="Verdana" w:hAnsi="Verdana"/>
                <w:b/>
                <w:color w:val="000000"/>
                <w:sz w:val="20"/>
                <w:szCs w:val="20"/>
                <w:lang w:val="en-GB"/>
              </w:rPr>
              <w:t>2</w:t>
            </w:r>
            <w:r w:rsidR="00C56CC6">
              <w:rPr>
                <w:rFonts w:ascii="Verdana" w:hAnsi="Verdana"/>
                <w:b/>
                <w:color w:val="000000"/>
                <w:sz w:val="20"/>
                <w:szCs w:val="20"/>
                <w:lang w:val="en-GB"/>
              </w:rPr>
              <w:t>7</w:t>
            </w:r>
            <w:r w:rsidR="00C013A1" w:rsidRPr="004E417D">
              <w:rPr>
                <w:rFonts w:ascii="Verdana" w:hAnsi="Verdana"/>
                <w:b/>
                <w:color w:val="000000"/>
                <w:sz w:val="20"/>
                <w:szCs w:val="20"/>
                <w:lang w:val="en-GB"/>
              </w:rPr>
              <w:t xml:space="preserve"> </w:t>
            </w:r>
            <w:r w:rsidR="00C56CC6">
              <w:rPr>
                <w:rFonts w:ascii="Verdana" w:hAnsi="Verdana"/>
                <w:b/>
                <w:color w:val="000000"/>
                <w:sz w:val="20"/>
                <w:szCs w:val="20"/>
                <w:lang w:val="en-GB"/>
              </w:rPr>
              <w:t>NOVEMBER</w:t>
            </w:r>
            <w:r w:rsidR="000F17E3" w:rsidRPr="004E417D">
              <w:rPr>
                <w:rFonts w:ascii="Verdana" w:hAnsi="Verdana"/>
                <w:b/>
                <w:color w:val="000000"/>
                <w:sz w:val="20"/>
                <w:szCs w:val="20"/>
                <w:lang w:val="en-GB"/>
              </w:rPr>
              <w:t xml:space="preserve"> </w:t>
            </w:r>
            <w:r w:rsidR="009C3533" w:rsidRPr="004E417D">
              <w:rPr>
                <w:rFonts w:ascii="Verdana" w:hAnsi="Verdana"/>
                <w:b/>
                <w:color w:val="000000"/>
                <w:sz w:val="20"/>
                <w:szCs w:val="20"/>
                <w:lang w:val="en-GB"/>
              </w:rPr>
              <w:t>201</w:t>
            </w:r>
            <w:r w:rsidR="005C5E16" w:rsidRPr="004E417D">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C56CC6" w:rsidRPr="00B96F51" w:rsidRDefault="00C56CC6" w:rsidP="00C56CC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96F51">
              <w:rPr>
                <w:rFonts w:ascii="Verdana" w:hAnsi="Verdana"/>
                <w:b/>
                <w:sz w:val="20"/>
                <w:szCs w:val="20"/>
              </w:rPr>
              <w:t xml:space="preserve">A </w:t>
            </w:r>
            <w:r w:rsidRPr="00B96F51">
              <w:rPr>
                <w:rFonts w:ascii="Verdana" w:hAnsi="Verdana"/>
                <w:b/>
                <w:color w:val="000000"/>
                <w:sz w:val="20"/>
                <w:szCs w:val="20"/>
              </w:rPr>
              <w:t>COMPULSORY</w:t>
            </w:r>
            <w:r w:rsidRPr="00B96F51">
              <w:rPr>
                <w:rFonts w:ascii="Verdana" w:hAnsi="Verdana"/>
                <w:b/>
                <w:sz w:val="20"/>
                <w:szCs w:val="20"/>
              </w:rPr>
              <w:t xml:space="preserve"> BRIEFING SESSION </w:t>
            </w:r>
            <w:r>
              <w:rPr>
                <w:rFonts w:ascii="Verdana" w:hAnsi="Verdana"/>
                <w:b/>
                <w:sz w:val="20"/>
                <w:szCs w:val="20"/>
              </w:rPr>
              <w:t>WILL BE HELD</w:t>
            </w:r>
            <w:r w:rsidRPr="00B96F51">
              <w:rPr>
                <w:rFonts w:ascii="Verdana" w:hAnsi="Verdana"/>
                <w:b/>
                <w:sz w:val="20"/>
                <w:szCs w:val="20"/>
              </w:rPr>
              <w:t>:</w:t>
            </w:r>
          </w:p>
          <w:p w:rsidR="00C56CC6" w:rsidRPr="00D55AEA" w:rsidRDefault="00C56CC6" w:rsidP="00C56CC6">
            <w:pPr>
              <w:spacing w:line="360" w:lineRule="auto"/>
              <w:rPr>
                <w:rFonts w:ascii="Arial" w:hAnsi="Arial" w:cs="Arial"/>
                <w:b/>
                <w:sz w:val="20"/>
                <w:szCs w:val="20"/>
              </w:rPr>
            </w:pPr>
            <w:r w:rsidRPr="00D55AEA">
              <w:rPr>
                <w:rFonts w:ascii="Arial" w:hAnsi="Arial" w:cs="Arial"/>
                <w:sz w:val="20"/>
                <w:szCs w:val="20"/>
              </w:rPr>
              <w:t>DATE</w:t>
            </w:r>
            <w:r w:rsidRPr="00D55AEA">
              <w:rPr>
                <w:rFonts w:ascii="Arial" w:hAnsi="Arial" w:cs="Arial"/>
                <w:sz w:val="20"/>
                <w:szCs w:val="20"/>
              </w:rPr>
              <w:tab/>
            </w:r>
            <w:r w:rsidRPr="00D55AEA">
              <w:rPr>
                <w:rFonts w:ascii="Arial" w:hAnsi="Arial" w:cs="Arial"/>
                <w:sz w:val="20"/>
                <w:szCs w:val="20"/>
              </w:rPr>
              <w:tab/>
              <w:t xml:space="preserve">: </w:t>
            </w:r>
            <w:r>
              <w:rPr>
                <w:rFonts w:ascii="Arial" w:hAnsi="Arial" w:cs="Arial"/>
                <w:sz w:val="20"/>
                <w:szCs w:val="20"/>
              </w:rPr>
              <w:t>13 NOVEMBER</w:t>
            </w:r>
            <w:r w:rsidRPr="00D55AEA">
              <w:rPr>
                <w:rFonts w:ascii="Arial" w:hAnsi="Arial" w:cs="Arial"/>
                <w:sz w:val="20"/>
                <w:szCs w:val="20"/>
              </w:rPr>
              <w:t xml:space="preserve"> 2013</w:t>
            </w:r>
          </w:p>
          <w:p w:rsidR="00C56CC6" w:rsidRPr="00D55AEA" w:rsidRDefault="00C56CC6" w:rsidP="00C56CC6">
            <w:pPr>
              <w:spacing w:line="360" w:lineRule="auto"/>
              <w:rPr>
                <w:rFonts w:ascii="Arial" w:hAnsi="Arial" w:cs="Arial"/>
                <w:b/>
                <w:sz w:val="20"/>
                <w:szCs w:val="20"/>
              </w:rPr>
            </w:pPr>
            <w:r w:rsidRPr="00D55AEA">
              <w:rPr>
                <w:rFonts w:ascii="Arial" w:hAnsi="Arial" w:cs="Arial"/>
                <w:sz w:val="20"/>
                <w:szCs w:val="20"/>
              </w:rPr>
              <w:t>TIME</w:t>
            </w:r>
            <w:r w:rsidRPr="00D55AEA">
              <w:rPr>
                <w:rFonts w:ascii="Arial" w:hAnsi="Arial" w:cs="Arial"/>
                <w:sz w:val="20"/>
                <w:szCs w:val="20"/>
              </w:rPr>
              <w:tab/>
            </w:r>
            <w:r w:rsidRPr="00D55AEA">
              <w:rPr>
                <w:rFonts w:ascii="Arial" w:hAnsi="Arial" w:cs="Arial"/>
                <w:sz w:val="20"/>
                <w:szCs w:val="20"/>
              </w:rPr>
              <w:tab/>
              <w:t>: 10H00 A.M</w:t>
            </w:r>
          </w:p>
          <w:p w:rsidR="00C56CC6" w:rsidRPr="00595E8F" w:rsidRDefault="00C56CC6" w:rsidP="00C56CC6">
            <w:pPr>
              <w:rPr>
                <w:rFonts w:ascii="Arial" w:hAnsi="Arial" w:cs="Arial"/>
                <w:b/>
                <w:sz w:val="20"/>
                <w:szCs w:val="20"/>
                <w:lang w:val="en-US"/>
              </w:rPr>
            </w:pPr>
            <w:r w:rsidRPr="00D55AEA">
              <w:rPr>
                <w:rFonts w:ascii="Arial" w:hAnsi="Arial" w:cs="Arial"/>
                <w:sz w:val="20"/>
                <w:szCs w:val="20"/>
              </w:rPr>
              <w:t>VENUE</w:t>
            </w:r>
            <w:r w:rsidRPr="00D55AEA">
              <w:rPr>
                <w:rFonts w:ascii="Arial" w:hAnsi="Arial" w:cs="Arial"/>
                <w:sz w:val="20"/>
                <w:szCs w:val="20"/>
              </w:rPr>
              <w:tab/>
              <w:t>: AT 1 MORDDERFOTEIN ROAD, SANDRINGHAM (NHLS</w:t>
            </w:r>
            <w:r w:rsidRPr="00595E8F">
              <w:rPr>
                <w:rFonts w:ascii="Arial" w:hAnsi="Arial" w:cs="Arial"/>
                <w:sz w:val="20"/>
                <w:szCs w:val="20"/>
                <w:u w:val="single"/>
              </w:rPr>
              <w:t>)</w:t>
            </w:r>
          </w:p>
          <w:p w:rsidR="00C56CC6" w:rsidRPr="00595E8F" w:rsidRDefault="00C56CC6" w:rsidP="00C56CC6">
            <w:pPr>
              <w:rPr>
                <w:rFonts w:ascii="Arial" w:hAnsi="Arial" w:cs="Arial"/>
                <w:sz w:val="20"/>
                <w:szCs w:val="20"/>
                <w:u w:val="single"/>
              </w:rPr>
            </w:pPr>
          </w:p>
          <w:p w:rsidR="00C56CC6" w:rsidRPr="00595E8F" w:rsidRDefault="00C56CC6" w:rsidP="00C56CC6">
            <w:pPr>
              <w:rPr>
                <w:rFonts w:ascii="Arial" w:hAnsi="Arial" w:cs="Arial"/>
                <w:color w:val="262626" w:themeColor="text1" w:themeTint="D9"/>
                <w:sz w:val="20"/>
                <w:szCs w:val="20"/>
                <w:u w:val="single"/>
              </w:rPr>
            </w:pPr>
            <w:r w:rsidRPr="00595E8F">
              <w:rPr>
                <w:rFonts w:ascii="Arial" w:hAnsi="Arial" w:cs="Arial"/>
                <w:color w:val="262626" w:themeColor="text1" w:themeTint="D9"/>
                <w:sz w:val="20"/>
                <w:szCs w:val="20"/>
                <w:u w:val="single"/>
              </w:rPr>
              <w:t>PLEASE NOTE THAT LATE COMING WILL NOT BE ACCEPTED</w:t>
            </w:r>
          </w:p>
          <w:p w:rsidR="00C56CC6" w:rsidRDefault="00C56CC6" w:rsidP="00C56CC6">
            <w:pPr>
              <w:spacing w:line="360" w:lineRule="auto"/>
              <w:ind w:left="34"/>
              <w:rPr>
                <w:rFonts w:ascii="Verdana" w:hAnsi="Verdana"/>
                <w:color w:val="000000"/>
                <w:sz w:val="20"/>
                <w:szCs w:val="20"/>
              </w:rPr>
            </w:pPr>
          </w:p>
          <w:p w:rsidR="00BF1763" w:rsidRPr="00573620" w:rsidRDefault="00C56CC6" w:rsidP="00C56CC6">
            <w:pPr>
              <w:spacing w:line="360" w:lineRule="auto"/>
              <w:ind w:left="34"/>
              <w:rPr>
                <w:rFonts w:ascii="Verdana" w:hAnsi="Verdana"/>
                <w:bCs/>
                <w:color w:val="FF0000"/>
                <w:sz w:val="20"/>
                <w:szCs w:val="20"/>
              </w:rPr>
            </w:pPr>
            <w:r w:rsidRPr="00DE73D9">
              <w:rPr>
                <w:rFonts w:ascii="Verdana" w:hAnsi="Verdana"/>
                <w:color w:val="000000"/>
                <w:sz w:val="20"/>
                <w:szCs w:val="20"/>
              </w:rPr>
              <w:t xml:space="preserve">All questions must be sent per e-mail to </w:t>
            </w:r>
            <w:hyperlink r:id="rId9" w:history="1">
              <w:r w:rsidRPr="00DE73D9">
                <w:rPr>
                  <w:rStyle w:val="Hyperlink"/>
                  <w:rFonts w:ascii="Verdana" w:hAnsi="Verdana"/>
                  <w:sz w:val="20"/>
                  <w:szCs w:val="20"/>
                </w:rPr>
                <w:t>michelle.gerard@nhls.ac.za</w:t>
              </w:r>
            </w:hyperlink>
            <w:r w:rsidRPr="00DE73D9">
              <w:rPr>
                <w:rFonts w:ascii="Verdana" w:hAnsi="Verdana"/>
                <w:color w:val="000000"/>
                <w:sz w:val="20"/>
                <w:szCs w:val="20"/>
              </w:rPr>
              <w:t xml:space="preserve"> on or before </w:t>
            </w:r>
            <w:r>
              <w:rPr>
                <w:rFonts w:ascii="Verdana" w:hAnsi="Verdana"/>
                <w:b/>
                <w:color w:val="000000"/>
                <w:sz w:val="20"/>
                <w:szCs w:val="20"/>
                <w:shd w:val="clear" w:color="auto" w:fill="FFFFFF" w:themeFill="background1"/>
              </w:rPr>
              <w:t>22 NOVEMBER</w:t>
            </w:r>
            <w:r w:rsidRPr="00DE73D9">
              <w:rPr>
                <w:rFonts w:ascii="Verdana" w:hAnsi="Verdana"/>
                <w:b/>
                <w:color w:val="000000"/>
                <w:sz w:val="20"/>
                <w:szCs w:val="20"/>
                <w:shd w:val="clear" w:color="auto" w:fill="FFFFFF" w:themeFill="background1"/>
              </w:rPr>
              <w:t xml:space="preserve"> 2013</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F32E67" w:rsidP="000D6B08">
            <w:pPr>
              <w:rPr>
                <w:rFonts w:ascii="Verdana" w:hAnsi="Verdana" w:cs="Verdana"/>
                <w:b/>
                <w:sz w:val="22"/>
                <w:szCs w:val="22"/>
              </w:rPr>
            </w:pPr>
            <w:r>
              <w:rPr>
                <w:rFonts w:ascii="Verdana" w:hAnsi="Verdana" w:cs="Arial"/>
                <w:color w:val="1D1B11" w:themeColor="background2" w:themeShade="1A"/>
                <w:sz w:val="20"/>
                <w:szCs w:val="20"/>
              </w:rPr>
              <w:t>SECUTIRY SERVICES FOR NATIONAL HEALTH LABORATORY SERVICES (NHLS) - NATIONALLY</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0</w:t>
            </w:r>
            <w:r w:rsidR="003B6112">
              <w:rPr>
                <w:rFonts w:ascii="Verdana" w:hAnsi="Verdana" w:cs="Arial"/>
                <w:b/>
                <w:sz w:val="20"/>
                <w:szCs w:val="20"/>
              </w:rPr>
              <w:t>43</w:t>
            </w:r>
            <w:r w:rsidRPr="00573620">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DF397A" w:rsidRDefault="00BD44B4">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0622394" w:history="1">
              <w:r w:rsidR="00DF397A" w:rsidRPr="007A6FEB">
                <w:rPr>
                  <w:rStyle w:val="Hyperlink"/>
                </w:rPr>
                <w:t>1</w:t>
              </w:r>
              <w:r w:rsidR="00DF397A">
                <w:rPr>
                  <w:rFonts w:asciiTheme="minorHAnsi" w:eastAsiaTheme="minorEastAsia" w:hAnsiTheme="minorHAnsi" w:cstheme="minorBidi"/>
                  <w:b w:val="0"/>
                  <w:bCs w:val="0"/>
                  <w:sz w:val="22"/>
                  <w:lang w:eastAsia="en-ZA"/>
                </w:rPr>
                <w:tab/>
              </w:r>
              <w:r w:rsidR="00DF397A" w:rsidRPr="007A6FEB">
                <w:rPr>
                  <w:rStyle w:val="Hyperlink"/>
                </w:rPr>
                <w:t>Confidential information disclosure notice</w:t>
              </w:r>
              <w:r w:rsidR="00DF397A">
                <w:rPr>
                  <w:webHidden/>
                </w:rPr>
                <w:tab/>
              </w:r>
              <w:r>
                <w:rPr>
                  <w:webHidden/>
                </w:rPr>
                <w:fldChar w:fldCharType="begin"/>
              </w:r>
              <w:r w:rsidR="00DF397A">
                <w:rPr>
                  <w:webHidden/>
                </w:rPr>
                <w:instrText xml:space="preserve"> PAGEREF _Toc360622394 \h </w:instrText>
              </w:r>
              <w:r>
                <w:rPr>
                  <w:webHidden/>
                </w:rPr>
              </w:r>
              <w:r>
                <w:rPr>
                  <w:webHidden/>
                </w:rPr>
                <w:fldChar w:fldCharType="separate"/>
              </w:r>
              <w:r w:rsidR="00A913CB">
                <w:rPr>
                  <w:webHidden/>
                </w:rPr>
                <w:t>6</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395"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Introduction</w:t>
              </w:r>
              <w:r w:rsidR="00DF397A">
                <w:rPr>
                  <w:webHidden/>
                </w:rPr>
                <w:tab/>
              </w:r>
              <w:r>
                <w:rPr>
                  <w:webHidden/>
                </w:rPr>
                <w:fldChar w:fldCharType="begin"/>
              </w:r>
              <w:r w:rsidR="00DF397A">
                <w:rPr>
                  <w:webHidden/>
                </w:rPr>
                <w:instrText xml:space="preserve"> PAGEREF _Toc360622395 \h </w:instrText>
              </w:r>
              <w:r>
                <w:rPr>
                  <w:webHidden/>
                </w:rPr>
              </w:r>
              <w:r>
                <w:rPr>
                  <w:webHidden/>
                </w:rPr>
                <w:fldChar w:fldCharType="separate"/>
              </w:r>
              <w:r w:rsidR="00A913CB">
                <w:rPr>
                  <w:webHidden/>
                </w:rPr>
                <w:t>6</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396" w:history="1">
              <w:r w:rsidR="00DF397A" w:rsidRPr="007A6FEB">
                <w:rPr>
                  <w:rStyle w:val="Hyperlink"/>
                </w:rPr>
                <w:t>3</w:t>
              </w:r>
              <w:r w:rsidR="00DF397A">
                <w:rPr>
                  <w:rFonts w:asciiTheme="minorHAnsi" w:eastAsiaTheme="minorEastAsia" w:hAnsiTheme="minorHAnsi" w:cstheme="minorBidi"/>
                  <w:b w:val="0"/>
                  <w:bCs w:val="0"/>
                  <w:sz w:val="22"/>
                  <w:lang w:eastAsia="en-ZA"/>
                </w:rPr>
                <w:tab/>
              </w:r>
              <w:r w:rsidR="00DF397A" w:rsidRPr="007A6FEB">
                <w:rPr>
                  <w:rStyle w:val="Hyperlink"/>
                </w:rPr>
                <w:t>Definitions</w:t>
              </w:r>
              <w:r w:rsidR="00DF397A">
                <w:rPr>
                  <w:webHidden/>
                </w:rPr>
                <w:tab/>
              </w:r>
              <w:r>
                <w:rPr>
                  <w:webHidden/>
                </w:rPr>
                <w:fldChar w:fldCharType="begin"/>
              </w:r>
              <w:r w:rsidR="00DF397A">
                <w:rPr>
                  <w:webHidden/>
                </w:rPr>
                <w:instrText xml:space="preserve"> PAGEREF _Toc360622396 \h </w:instrText>
              </w:r>
              <w:r>
                <w:rPr>
                  <w:webHidden/>
                </w:rPr>
              </w:r>
              <w:r>
                <w:rPr>
                  <w:webHidden/>
                </w:rPr>
                <w:fldChar w:fldCharType="separate"/>
              </w:r>
              <w:r w:rsidR="00A913CB">
                <w:rPr>
                  <w:webHidden/>
                </w:rPr>
                <w:t>7</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397"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Acronyms and abbreviations</w:t>
              </w:r>
              <w:r w:rsidR="00DF397A">
                <w:rPr>
                  <w:webHidden/>
                </w:rPr>
                <w:tab/>
              </w:r>
              <w:r>
                <w:rPr>
                  <w:webHidden/>
                </w:rPr>
                <w:fldChar w:fldCharType="begin"/>
              </w:r>
              <w:r w:rsidR="00DF397A">
                <w:rPr>
                  <w:webHidden/>
                </w:rPr>
                <w:instrText xml:space="preserve"> PAGEREF _Toc360622397 \h </w:instrText>
              </w:r>
              <w:r>
                <w:rPr>
                  <w:webHidden/>
                </w:rPr>
              </w:r>
              <w:r>
                <w:rPr>
                  <w:webHidden/>
                </w:rPr>
                <w:fldChar w:fldCharType="separate"/>
              </w:r>
              <w:r w:rsidR="00A913CB">
                <w:rPr>
                  <w:webHidden/>
                </w:rPr>
                <w:t>9</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398" w:history="1">
              <w:r w:rsidR="00DF397A" w:rsidRPr="007A6FEB">
                <w:rPr>
                  <w:rStyle w:val="Hyperlink"/>
                </w:rPr>
                <w:t>5</w:t>
              </w:r>
              <w:r w:rsidR="00DF397A">
                <w:rPr>
                  <w:rFonts w:asciiTheme="minorHAnsi" w:eastAsiaTheme="minorEastAsia" w:hAnsiTheme="minorHAnsi" w:cstheme="minorBidi"/>
                  <w:b w:val="0"/>
                  <w:bCs w:val="0"/>
                  <w:sz w:val="22"/>
                  <w:lang w:eastAsia="en-ZA"/>
                </w:rPr>
                <w:tab/>
              </w:r>
              <w:r w:rsidR="00DF397A" w:rsidRPr="007A6FEB">
                <w:rPr>
                  <w:rStyle w:val="Hyperlink"/>
                </w:rPr>
                <w:t>General rules and instructions</w:t>
              </w:r>
              <w:r w:rsidR="00DF397A">
                <w:rPr>
                  <w:webHidden/>
                </w:rPr>
                <w:tab/>
              </w:r>
              <w:r>
                <w:rPr>
                  <w:webHidden/>
                </w:rPr>
                <w:fldChar w:fldCharType="begin"/>
              </w:r>
              <w:r w:rsidR="00DF397A">
                <w:rPr>
                  <w:webHidden/>
                </w:rPr>
                <w:instrText xml:space="preserve"> PAGEREF _Toc360622398 \h </w:instrText>
              </w:r>
              <w:r>
                <w:rPr>
                  <w:webHidden/>
                </w:rPr>
              </w:r>
              <w:r>
                <w:rPr>
                  <w:webHidden/>
                </w:rPr>
                <w:fldChar w:fldCharType="separate"/>
              </w:r>
              <w:r w:rsidR="00A913CB">
                <w:rPr>
                  <w:webHidden/>
                </w:rPr>
                <w:t>10</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399" w:history="1">
              <w:r w:rsidR="00DF397A" w:rsidRPr="007A6FEB">
                <w:rPr>
                  <w:rStyle w:val="Hyperlink"/>
                </w:rPr>
                <w:t>6</w:t>
              </w:r>
              <w:r w:rsidR="00DF397A">
                <w:rPr>
                  <w:rFonts w:asciiTheme="minorHAnsi" w:eastAsiaTheme="minorEastAsia" w:hAnsiTheme="minorHAnsi" w:cstheme="minorBidi"/>
                  <w:b w:val="0"/>
                  <w:bCs w:val="0"/>
                  <w:sz w:val="22"/>
                  <w:lang w:eastAsia="en-ZA"/>
                </w:rPr>
                <w:tab/>
              </w:r>
              <w:r w:rsidR="00DF397A" w:rsidRPr="007A6FEB">
                <w:rPr>
                  <w:rStyle w:val="Hyperlink"/>
                </w:rPr>
                <w:t>Response format</w:t>
              </w:r>
              <w:r w:rsidR="00DF397A">
                <w:rPr>
                  <w:webHidden/>
                </w:rPr>
                <w:tab/>
              </w:r>
              <w:r>
                <w:rPr>
                  <w:webHidden/>
                </w:rPr>
                <w:fldChar w:fldCharType="begin"/>
              </w:r>
              <w:r w:rsidR="00DF397A">
                <w:rPr>
                  <w:webHidden/>
                </w:rPr>
                <w:instrText xml:space="preserve"> PAGEREF _Toc360622399 \h </w:instrText>
              </w:r>
              <w:r>
                <w:rPr>
                  <w:webHidden/>
                </w:rPr>
              </w:r>
              <w:r>
                <w:rPr>
                  <w:webHidden/>
                </w:rPr>
                <w:fldChar w:fldCharType="separate"/>
              </w:r>
              <w:r w:rsidR="00A913CB">
                <w:rPr>
                  <w:webHidden/>
                </w:rPr>
                <w:t>14</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0" w:history="1">
              <w:r w:rsidR="00DF397A" w:rsidRPr="007A6FEB">
                <w:rPr>
                  <w:rStyle w:val="Hyperlink"/>
                </w:rPr>
                <w:t>7</w:t>
              </w:r>
              <w:r w:rsidR="00DF397A">
                <w:rPr>
                  <w:rFonts w:asciiTheme="minorHAnsi" w:eastAsiaTheme="minorEastAsia" w:hAnsiTheme="minorHAnsi" w:cstheme="minorBidi"/>
                  <w:b w:val="0"/>
                  <w:bCs w:val="0"/>
                  <w:sz w:val="22"/>
                  <w:lang w:eastAsia="en-ZA"/>
                </w:rPr>
                <w:tab/>
              </w:r>
              <w:r w:rsidR="00DF397A" w:rsidRPr="007A6FEB">
                <w:rPr>
                  <w:rStyle w:val="Hyperlink"/>
                </w:rPr>
                <w:t>Key personnel</w:t>
              </w:r>
              <w:r w:rsidR="00DF397A">
                <w:rPr>
                  <w:webHidden/>
                </w:rPr>
                <w:tab/>
              </w:r>
              <w:r>
                <w:rPr>
                  <w:webHidden/>
                </w:rPr>
                <w:fldChar w:fldCharType="begin"/>
              </w:r>
              <w:r w:rsidR="00DF397A">
                <w:rPr>
                  <w:webHidden/>
                </w:rPr>
                <w:instrText xml:space="preserve"> PAGEREF _Toc360622400 \h </w:instrText>
              </w:r>
              <w:r>
                <w:rPr>
                  <w:webHidden/>
                </w:rPr>
              </w:r>
              <w:r>
                <w:rPr>
                  <w:webHidden/>
                </w:rPr>
                <w:fldChar w:fldCharType="separate"/>
              </w:r>
              <w:r w:rsidR="00A913CB">
                <w:rPr>
                  <w:webHidden/>
                </w:rPr>
                <w:t>15</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1" w:history="1">
              <w:r w:rsidR="00DF397A" w:rsidRPr="007A6FEB">
                <w:rPr>
                  <w:rStyle w:val="Hyperlink"/>
                </w:rPr>
                <w:t>8</w:t>
              </w:r>
              <w:r w:rsidR="00DF397A">
                <w:rPr>
                  <w:rFonts w:asciiTheme="minorHAnsi" w:eastAsiaTheme="minorEastAsia" w:hAnsiTheme="minorHAnsi" w:cstheme="minorBidi"/>
                  <w:b w:val="0"/>
                  <w:bCs w:val="0"/>
                  <w:sz w:val="22"/>
                  <w:lang w:eastAsia="en-ZA"/>
                </w:rPr>
                <w:tab/>
              </w:r>
              <w:r w:rsidR="00DF397A" w:rsidRPr="007A6FEB">
                <w:rPr>
                  <w:rStyle w:val="Hyperlink"/>
                </w:rPr>
                <w:t>Reasons for disqualification</w:t>
              </w:r>
              <w:r w:rsidR="00DF397A">
                <w:rPr>
                  <w:webHidden/>
                </w:rPr>
                <w:tab/>
              </w:r>
              <w:r>
                <w:rPr>
                  <w:webHidden/>
                </w:rPr>
                <w:fldChar w:fldCharType="begin"/>
              </w:r>
              <w:r w:rsidR="00DF397A">
                <w:rPr>
                  <w:webHidden/>
                </w:rPr>
                <w:instrText xml:space="preserve"> PAGEREF _Toc360622401 \h </w:instrText>
              </w:r>
              <w:r>
                <w:rPr>
                  <w:webHidden/>
                </w:rPr>
              </w:r>
              <w:r>
                <w:rPr>
                  <w:webHidden/>
                </w:rPr>
                <w:fldChar w:fldCharType="separate"/>
              </w:r>
              <w:r w:rsidR="00A913CB">
                <w:rPr>
                  <w:webHidden/>
                </w:rPr>
                <w:t>15</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2" w:history="1">
              <w:r w:rsidR="00DF397A" w:rsidRPr="007A6FEB">
                <w:rPr>
                  <w:rStyle w:val="Hyperlink"/>
                </w:rPr>
                <w:t>9</w:t>
              </w:r>
              <w:r w:rsidR="00DF397A">
                <w:rPr>
                  <w:rFonts w:asciiTheme="minorHAnsi" w:eastAsiaTheme="minorEastAsia" w:hAnsiTheme="minorHAnsi" w:cstheme="minorBidi"/>
                  <w:b w:val="0"/>
                  <w:bCs w:val="0"/>
                  <w:sz w:val="22"/>
                  <w:lang w:eastAsia="en-ZA"/>
                </w:rPr>
                <w:tab/>
              </w:r>
              <w:r w:rsidR="00DF397A" w:rsidRPr="007A6FEB">
                <w:rPr>
                  <w:rStyle w:val="Hyperlink"/>
                </w:rPr>
                <w:t>Bid preparation</w:t>
              </w:r>
              <w:r w:rsidR="00DF397A">
                <w:rPr>
                  <w:webHidden/>
                </w:rPr>
                <w:tab/>
              </w:r>
              <w:r>
                <w:rPr>
                  <w:webHidden/>
                </w:rPr>
                <w:fldChar w:fldCharType="begin"/>
              </w:r>
              <w:r w:rsidR="00DF397A">
                <w:rPr>
                  <w:webHidden/>
                </w:rPr>
                <w:instrText xml:space="preserve"> PAGEREF _Toc360622402 \h </w:instrText>
              </w:r>
              <w:r>
                <w:rPr>
                  <w:webHidden/>
                </w:rPr>
              </w:r>
              <w:r>
                <w:rPr>
                  <w:webHidden/>
                </w:rPr>
                <w:fldChar w:fldCharType="separate"/>
              </w:r>
              <w:r w:rsidR="00A913CB">
                <w:rPr>
                  <w:webHidden/>
                </w:rPr>
                <w:t>16</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3" w:history="1">
              <w:r w:rsidR="00DF397A" w:rsidRPr="007A6FEB">
                <w:rPr>
                  <w:rStyle w:val="Hyperlink"/>
                </w:rPr>
                <w:t>10</w:t>
              </w:r>
              <w:r w:rsidR="00DF397A">
                <w:rPr>
                  <w:rFonts w:asciiTheme="minorHAnsi" w:eastAsiaTheme="minorEastAsia" w:hAnsiTheme="minorHAnsi" w:cstheme="minorBidi"/>
                  <w:b w:val="0"/>
                  <w:bCs w:val="0"/>
                  <w:sz w:val="22"/>
                  <w:lang w:eastAsia="en-ZA"/>
                </w:rPr>
                <w:tab/>
              </w:r>
              <w:r w:rsidR="00DF397A" w:rsidRPr="007A6FEB">
                <w:rPr>
                  <w:rStyle w:val="Hyperlink"/>
                </w:rPr>
                <w:t>Oral presentations and briefing sessions</w:t>
              </w:r>
              <w:r w:rsidR="00DF397A">
                <w:rPr>
                  <w:webHidden/>
                </w:rPr>
                <w:tab/>
              </w:r>
              <w:r>
                <w:rPr>
                  <w:webHidden/>
                </w:rPr>
                <w:fldChar w:fldCharType="begin"/>
              </w:r>
              <w:r w:rsidR="00DF397A">
                <w:rPr>
                  <w:webHidden/>
                </w:rPr>
                <w:instrText xml:space="preserve"> PAGEREF _Toc360622403 \h </w:instrText>
              </w:r>
              <w:r>
                <w:rPr>
                  <w:webHidden/>
                </w:rPr>
              </w:r>
              <w:r>
                <w:rPr>
                  <w:webHidden/>
                </w:rPr>
                <w:fldChar w:fldCharType="separate"/>
              </w:r>
              <w:r w:rsidR="00A913CB">
                <w:rPr>
                  <w:webHidden/>
                </w:rPr>
                <w:t>16</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4" w:history="1">
              <w:r w:rsidR="00DF397A" w:rsidRPr="007A6FEB">
                <w:rPr>
                  <w:rStyle w:val="Hyperlink"/>
                </w:rPr>
                <w:t>11</w:t>
              </w:r>
              <w:r w:rsidR="00DF397A">
                <w:rPr>
                  <w:rFonts w:asciiTheme="minorHAnsi" w:eastAsiaTheme="minorEastAsia" w:hAnsiTheme="minorHAnsi" w:cstheme="minorBidi"/>
                  <w:b w:val="0"/>
                  <w:bCs w:val="0"/>
                  <w:sz w:val="22"/>
                  <w:lang w:eastAsia="en-ZA"/>
                </w:rPr>
                <w:tab/>
              </w:r>
              <w:r w:rsidR="00DF397A" w:rsidRPr="007A6FEB">
                <w:rPr>
                  <w:rStyle w:val="Hyperlink"/>
                </w:rPr>
                <w:t>General Conditions of Bid and Conditions of Contract</w:t>
              </w:r>
              <w:r w:rsidR="00DF397A">
                <w:rPr>
                  <w:webHidden/>
                </w:rPr>
                <w:tab/>
              </w:r>
              <w:r>
                <w:rPr>
                  <w:webHidden/>
                </w:rPr>
                <w:fldChar w:fldCharType="begin"/>
              </w:r>
              <w:r w:rsidR="00DF397A">
                <w:rPr>
                  <w:webHidden/>
                </w:rPr>
                <w:instrText xml:space="preserve"> PAGEREF _Toc360622404 \h </w:instrText>
              </w:r>
              <w:r>
                <w:rPr>
                  <w:webHidden/>
                </w:rPr>
              </w:r>
              <w:r>
                <w:rPr>
                  <w:webHidden/>
                </w:rPr>
                <w:fldChar w:fldCharType="separate"/>
              </w:r>
              <w:r w:rsidR="00A913CB">
                <w:rPr>
                  <w:webHidden/>
                </w:rPr>
                <w:t>16</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5" w:history="1">
              <w:r w:rsidR="00DF397A" w:rsidRPr="007A6FEB">
                <w:rPr>
                  <w:rStyle w:val="Hyperlink"/>
                </w:rPr>
                <w:t>12</w:t>
              </w:r>
              <w:r w:rsidR="00DF397A">
                <w:rPr>
                  <w:rFonts w:asciiTheme="minorHAnsi" w:eastAsiaTheme="minorEastAsia" w:hAnsiTheme="minorHAnsi" w:cstheme="minorBidi"/>
                  <w:b w:val="0"/>
                  <w:bCs w:val="0"/>
                  <w:sz w:val="22"/>
                  <w:lang w:eastAsia="en-ZA"/>
                </w:rPr>
                <w:tab/>
              </w:r>
              <w:r w:rsidR="00DF397A" w:rsidRPr="007A6FEB">
                <w:rPr>
                  <w:rStyle w:val="Hyperlink"/>
                </w:rPr>
                <w:t>Evaluation Criteria and Methodology</w:t>
              </w:r>
              <w:r w:rsidR="00DF397A">
                <w:rPr>
                  <w:webHidden/>
                </w:rPr>
                <w:tab/>
              </w:r>
              <w:r>
                <w:rPr>
                  <w:webHidden/>
                </w:rPr>
                <w:fldChar w:fldCharType="begin"/>
              </w:r>
              <w:r w:rsidR="00DF397A">
                <w:rPr>
                  <w:webHidden/>
                </w:rPr>
                <w:instrText xml:space="preserve"> PAGEREF _Toc360622405 \h </w:instrText>
              </w:r>
              <w:r>
                <w:rPr>
                  <w:webHidden/>
                </w:rPr>
              </w:r>
              <w:r>
                <w:rPr>
                  <w:webHidden/>
                </w:rPr>
                <w:fldChar w:fldCharType="separate"/>
              </w:r>
              <w:r w:rsidR="00A913CB">
                <w:rPr>
                  <w:webHidden/>
                </w:rPr>
                <w:t>23</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6" w:history="1">
              <w:r w:rsidR="00DF397A" w:rsidRPr="007A6FEB">
                <w:rPr>
                  <w:rStyle w:val="Hyperlink"/>
                </w:rPr>
                <w:t>Annex A :</w:t>
              </w:r>
              <w:r w:rsidR="00DF397A">
                <w:rPr>
                  <w:rFonts w:asciiTheme="minorHAnsi" w:eastAsiaTheme="minorEastAsia" w:hAnsiTheme="minorHAnsi" w:cstheme="minorBidi"/>
                  <w:b w:val="0"/>
                  <w:bCs w:val="0"/>
                  <w:sz w:val="22"/>
                  <w:lang w:eastAsia="en-ZA"/>
                </w:rPr>
                <w:tab/>
              </w:r>
              <w:r w:rsidR="00DF397A" w:rsidRPr="007A6FEB">
                <w:rPr>
                  <w:rStyle w:val="Hyperlink"/>
                </w:rPr>
                <w:t>Technical Specification</w:t>
              </w:r>
              <w:r w:rsidR="00DF397A">
                <w:rPr>
                  <w:webHidden/>
                </w:rPr>
                <w:tab/>
              </w:r>
              <w:r>
                <w:rPr>
                  <w:webHidden/>
                </w:rPr>
                <w:fldChar w:fldCharType="begin"/>
              </w:r>
              <w:r w:rsidR="00DF397A">
                <w:rPr>
                  <w:webHidden/>
                </w:rPr>
                <w:instrText xml:space="preserve"> PAGEREF _Toc360622406 \h </w:instrText>
              </w:r>
              <w:r>
                <w:rPr>
                  <w:webHidden/>
                </w:rPr>
              </w:r>
              <w:r>
                <w:rPr>
                  <w:webHidden/>
                </w:rPr>
                <w:fldChar w:fldCharType="separate"/>
              </w:r>
              <w:r w:rsidR="00A913CB">
                <w:rPr>
                  <w:webHidden/>
                </w:rPr>
                <w:t>25</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7" w:history="1">
              <w:r w:rsidR="00DF397A" w:rsidRPr="007A6FEB">
                <w:rPr>
                  <w:rStyle w:val="Hyperlink"/>
                </w:rPr>
                <w:t>Annex B :</w:t>
              </w:r>
              <w:r w:rsidR="00DF397A">
                <w:rPr>
                  <w:rFonts w:asciiTheme="minorHAnsi" w:eastAsiaTheme="minorEastAsia" w:hAnsiTheme="minorHAnsi" w:cstheme="minorBidi"/>
                  <w:b w:val="0"/>
                  <w:bCs w:val="0"/>
                  <w:sz w:val="22"/>
                  <w:lang w:eastAsia="en-ZA"/>
                </w:rPr>
                <w:tab/>
              </w:r>
              <w:r w:rsidR="00DF397A" w:rsidRPr="007A6FEB">
                <w:rPr>
                  <w:rStyle w:val="Hyperlink"/>
                </w:rPr>
                <w:t>Pricing</w:t>
              </w:r>
              <w:r w:rsidR="00DF397A">
                <w:rPr>
                  <w:webHidden/>
                </w:rPr>
                <w:tab/>
              </w:r>
              <w:r>
                <w:rPr>
                  <w:webHidden/>
                </w:rPr>
                <w:fldChar w:fldCharType="begin"/>
              </w:r>
              <w:r w:rsidR="00DF397A">
                <w:rPr>
                  <w:webHidden/>
                </w:rPr>
                <w:instrText xml:space="preserve"> PAGEREF _Toc360622407 \h </w:instrText>
              </w:r>
              <w:r>
                <w:rPr>
                  <w:webHidden/>
                </w:rPr>
              </w:r>
              <w:r>
                <w:rPr>
                  <w:webHidden/>
                </w:rPr>
                <w:fldChar w:fldCharType="separate"/>
              </w:r>
              <w:r w:rsidR="00A913CB">
                <w:rPr>
                  <w:webHidden/>
                </w:rPr>
                <w:t>47</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8" w:history="1">
              <w:r w:rsidR="00DF397A" w:rsidRPr="007A6FEB">
                <w:rPr>
                  <w:rStyle w:val="Hyperlink"/>
                </w:rPr>
                <w:t>Annex C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(SBD2)</w:t>
              </w:r>
              <w:r w:rsidR="00DF397A">
                <w:rPr>
                  <w:webHidden/>
                </w:rPr>
                <w:tab/>
              </w:r>
              <w:r>
                <w:rPr>
                  <w:webHidden/>
                </w:rPr>
                <w:fldChar w:fldCharType="begin"/>
              </w:r>
              <w:r w:rsidR="00DF397A">
                <w:rPr>
                  <w:webHidden/>
                </w:rPr>
                <w:instrText xml:space="preserve"> PAGEREF _Toc360622408 \h </w:instrText>
              </w:r>
              <w:r>
                <w:rPr>
                  <w:webHidden/>
                </w:rPr>
              </w:r>
              <w:r>
                <w:rPr>
                  <w:webHidden/>
                </w:rPr>
                <w:fldChar w:fldCharType="separate"/>
              </w:r>
              <w:r w:rsidR="00A913CB">
                <w:rPr>
                  <w:webHidden/>
                </w:rPr>
                <w:t>52</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09" w:history="1">
              <w:r w:rsidR="00DF397A" w:rsidRPr="007A6FEB">
                <w:rPr>
                  <w:rStyle w:val="Hyperlink"/>
                </w:rPr>
                <w:t>Annex D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(SBD4)</w:t>
              </w:r>
              <w:r w:rsidR="00DF397A">
                <w:rPr>
                  <w:webHidden/>
                </w:rPr>
                <w:tab/>
              </w:r>
              <w:r>
                <w:rPr>
                  <w:webHidden/>
                </w:rPr>
                <w:fldChar w:fldCharType="begin"/>
              </w:r>
              <w:r w:rsidR="00DF397A">
                <w:rPr>
                  <w:webHidden/>
                </w:rPr>
                <w:instrText xml:space="preserve"> PAGEREF _Toc360622409 \h </w:instrText>
              </w:r>
              <w:r>
                <w:rPr>
                  <w:webHidden/>
                </w:rPr>
              </w:r>
              <w:r>
                <w:rPr>
                  <w:webHidden/>
                </w:rPr>
                <w:fldChar w:fldCharType="separate"/>
              </w:r>
              <w:r w:rsidR="00A913CB">
                <w:rPr>
                  <w:webHidden/>
                </w:rPr>
                <w:t>55</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0"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Full details of directors / trustees / members / shareholders.</w:t>
              </w:r>
              <w:r w:rsidR="00DF397A">
                <w:rPr>
                  <w:webHidden/>
                </w:rPr>
                <w:tab/>
              </w:r>
              <w:r>
                <w:rPr>
                  <w:webHidden/>
                </w:rPr>
                <w:fldChar w:fldCharType="begin"/>
              </w:r>
              <w:r w:rsidR="00DF397A">
                <w:rPr>
                  <w:webHidden/>
                </w:rPr>
                <w:instrText xml:space="preserve"> PAGEREF _Toc360622410 \h </w:instrText>
              </w:r>
              <w:r>
                <w:rPr>
                  <w:webHidden/>
                </w:rPr>
              </w:r>
              <w:r>
                <w:rPr>
                  <w:webHidden/>
                </w:rPr>
                <w:fldChar w:fldCharType="separate"/>
              </w:r>
              <w:r w:rsidR="00A913CB">
                <w:rPr>
                  <w:webHidden/>
                </w:rPr>
                <w:t>57</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1"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DECLARATION</w:t>
              </w:r>
              <w:r w:rsidR="00DF397A">
                <w:rPr>
                  <w:webHidden/>
                </w:rPr>
                <w:tab/>
              </w:r>
              <w:r>
                <w:rPr>
                  <w:webHidden/>
                </w:rPr>
                <w:fldChar w:fldCharType="begin"/>
              </w:r>
              <w:r w:rsidR="00DF397A">
                <w:rPr>
                  <w:webHidden/>
                </w:rPr>
                <w:instrText xml:space="preserve"> PAGEREF _Toc360622411 \h </w:instrText>
              </w:r>
              <w:r>
                <w:rPr>
                  <w:webHidden/>
                </w:rPr>
              </w:r>
              <w:r>
                <w:rPr>
                  <w:webHidden/>
                </w:rPr>
                <w:fldChar w:fldCharType="separate"/>
              </w:r>
              <w:r w:rsidR="00A913CB">
                <w:rPr>
                  <w:webHidden/>
                </w:rPr>
                <w:t>57</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2" w:history="1">
              <w:r w:rsidR="00DF397A" w:rsidRPr="007A6FEB">
                <w:rPr>
                  <w:rStyle w:val="Hyperlink"/>
                </w:rPr>
                <w:t>Annex E :</w:t>
              </w:r>
              <w:r w:rsidR="00DF397A">
                <w:rPr>
                  <w:rFonts w:asciiTheme="minorHAnsi" w:eastAsiaTheme="minorEastAsia" w:hAnsiTheme="minorHAnsi" w:cstheme="minorBidi"/>
                  <w:b w:val="0"/>
                  <w:bCs w:val="0"/>
                  <w:sz w:val="22"/>
                  <w:lang w:eastAsia="en-ZA"/>
                </w:rPr>
                <w:tab/>
              </w:r>
              <w:r w:rsidR="00DF397A" w:rsidRPr="007A6FEB">
                <w:rPr>
                  <w:rStyle w:val="Hyperlink"/>
                </w:rPr>
                <w:t>National Industrial Participation (SBD5)</w:t>
              </w:r>
              <w:r w:rsidR="00DF397A">
                <w:rPr>
                  <w:webHidden/>
                </w:rPr>
                <w:tab/>
              </w:r>
              <w:r>
                <w:rPr>
                  <w:webHidden/>
                </w:rPr>
                <w:fldChar w:fldCharType="begin"/>
              </w:r>
              <w:r w:rsidR="00DF397A">
                <w:rPr>
                  <w:webHidden/>
                </w:rPr>
                <w:instrText xml:space="preserve"> PAGEREF _Toc360622412 \h </w:instrText>
              </w:r>
              <w:r>
                <w:rPr>
                  <w:webHidden/>
                </w:rPr>
              </w:r>
              <w:r>
                <w:rPr>
                  <w:webHidden/>
                </w:rPr>
                <w:fldChar w:fldCharType="separate"/>
              </w:r>
              <w:r w:rsidR="00A913CB">
                <w:rPr>
                  <w:webHidden/>
                </w:rPr>
                <w:t>58</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3" w:history="1">
              <w:r w:rsidR="00DF397A" w:rsidRPr="007A6FEB">
                <w:rPr>
                  <w:rStyle w:val="Hyperlink"/>
                </w:rPr>
                <w:t>Annex F :</w:t>
              </w:r>
              <w:r w:rsidR="00DF397A">
                <w:rPr>
                  <w:rFonts w:asciiTheme="minorHAnsi" w:eastAsiaTheme="minorEastAsia" w:hAnsiTheme="minorHAnsi" w:cstheme="minorBidi"/>
                  <w:b w:val="0"/>
                  <w:bCs w:val="0"/>
                  <w:sz w:val="22"/>
                  <w:lang w:eastAsia="en-ZA"/>
                </w:rPr>
                <w:tab/>
              </w:r>
              <w:r w:rsidR="00DF397A" w:rsidRPr="007A6FEB">
                <w:rPr>
                  <w:rStyle w:val="Hyperlink"/>
                </w:rPr>
                <w:t>Declaration Of Bidders Past Supply Chain Practices (SBD8)</w:t>
              </w:r>
              <w:r w:rsidR="00DF397A">
                <w:rPr>
                  <w:webHidden/>
                </w:rPr>
                <w:tab/>
              </w:r>
              <w:r>
                <w:rPr>
                  <w:webHidden/>
                </w:rPr>
                <w:fldChar w:fldCharType="begin"/>
              </w:r>
              <w:r w:rsidR="00DF397A">
                <w:rPr>
                  <w:webHidden/>
                </w:rPr>
                <w:instrText xml:space="preserve"> PAGEREF _Toc360622413 \h </w:instrText>
              </w:r>
              <w:r>
                <w:rPr>
                  <w:webHidden/>
                </w:rPr>
              </w:r>
              <w:r>
                <w:rPr>
                  <w:webHidden/>
                </w:rPr>
                <w:fldChar w:fldCharType="separate"/>
              </w:r>
              <w:r w:rsidR="00A913CB">
                <w:rPr>
                  <w:webHidden/>
                </w:rPr>
                <w:t>61</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4" w:history="1">
              <w:r w:rsidR="00DF397A" w:rsidRPr="007A6FEB">
                <w:rPr>
                  <w:rStyle w:val="Hyperlink"/>
                </w:rPr>
                <w:t>Annex G :</w:t>
              </w:r>
              <w:r w:rsidR="00DF397A">
                <w:rPr>
                  <w:rFonts w:asciiTheme="minorHAnsi" w:eastAsiaTheme="minorEastAsia" w:hAnsiTheme="minorHAnsi" w:cstheme="minorBidi"/>
                  <w:b w:val="0"/>
                  <w:bCs w:val="0"/>
                  <w:sz w:val="22"/>
                  <w:lang w:eastAsia="en-ZA"/>
                </w:rPr>
                <w:tab/>
              </w:r>
              <w:r w:rsidR="00DF397A" w:rsidRPr="007A6FEB">
                <w:rPr>
                  <w:rStyle w:val="Hyperlink"/>
                </w:rPr>
                <w:t>Preferential Procurement Claim Form (SBD6.1)</w:t>
              </w:r>
              <w:r w:rsidR="00DF397A">
                <w:rPr>
                  <w:webHidden/>
                </w:rPr>
                <w:tab/>
              </w:r>
              <w:r>
                <w:rPr>
                  <w:webHidden/>
                </w:rPr>
                <w:fldChar w:fldCharType="begin"/>
              </w:r>
              <w:r w:rsidR="00DF397A">
                <w:rPr>
                  <w:webHidden/>
                </w:rPr>
                <w:instrText xml:space="preserve"> PAGEREF _Toc360622414 \h </w:instrText>
              </w:r>
              <w:r>
                <w:rPr>
                  <w:webHidden/>
                </w:rPr>
              </w:r>
              <w:r>
                <w:rPr>
                  <w:webHidden/>
                </w:rPr>
                <w:fldChar w:fldCharType="separate"/>
              </w:r>
              <w:r w:rsidR="00A913CB">
                <w:rPr>
                  <w:webHidden/>
                </w:rPr>
                <w:t>63</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5" w:history="1">
              <w:r w:rsidR="00DF397A" w:rsidRPr="007A6FEB">
                <w:rPr>
                  <w:rStyle w:val="Hyperlink"/>
                  <w:lang w:val="en-GB"/>
                </w:rPr>
                <w:t>80/20</w:t>
              </w:r>
              <w:r w:rsidR="00DF397A">
                <w:rPr>
                  <w:rFonts w:asciiTheme="minorHAnsi" w:eastAsiaTheme="minorEastAsia" w:hAnsiTheme="minorHAnsi" w:cstheme="minorBidi"/>
                  <w:b w:val="0"/>
                  <w:bCs w:val="0"/>
                  <w:sz w:val="22"/>
                  <w:lang w:eastAsia="en-ZA"/>
                </w:rPr>
                <w:tab/>
              </w:r>
              <w:r w:rsidR="00DF397A" w:rsidRPr="007A6FEB">
                <w:rPr>
                  <w:rStyle w:val="Hyperlink"/>
                  <w:lang w:val="en-GB"/>
                </w:rPr>
                <w:t>or 90/10</w:t>
              </w:r>
              <w:r w:rsidR="00DF397A">
                <w:rPr>
                  <w:webHidden/>
                </w:rPr>
                <w:tab/>
              </w:r>
              <w:r>
                <w:rPr>
                  <w:webHidden/>
                </w:rPr>
                <w:fldChar w:fldCharType="begin"/>
              </w:r>
              <w:r w:rsidR="00DF397A">
                <w:rPr>
                  <w:webHidden/>
                </w:rPr>
                <w:instrText xml:space="preserve"> PAGEREF _Toc360622415 \h </w:instrText>
              </w:r>
              <w:r>
                <w:rPr>
                  <w:webHidden/>
                </w:rPr>
              </w:r>
              <w:r>
                <w:rPr>
                  <w:webHidden/>
                </w:rPr>
                <w:fldChar w:fldCharType="separate"/>
              </w:r>
              <w:r w:rsidR="00A913CB">
                <w:rPr>
                  <w:webHidden/>
                </w:rPr>
                <w:t>65</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6" w:history="1">
              <w:r w:rsidR="00DF397A" w:rsidRPr="007A6FEB">
                <w:rPr>
                  <w:rStyle w:val="Hyperlink"/>
                </w:rPr>
                <w:t>Annex H :</w:t>
              </w:r>
              <w:r w:rsidR="00DF397A">
                <w:rPr>
                  <w:rFonts w:asciiTheme="minorHAnsi" w:eastAsiaTheme="minorEastAsia" w:hAnsiTheme="minorHAnsi" w:cstheme="minorBidi"/>
                  <w:b w:val="0"/>
                  <w:bCs w:val="0"/>
                  <w:sz w:val="22"/>
                  <w:lang w:eastAsia="en-ZA"/>
                </w:rPr>
                <w:tab/>
              </w:r>
              <w:r w:rsidR="00DF397A" w:rsidRPr="007A6FEB">
                <w:rPr>
                  <w:rStyle w:val="Hyperlink"/>
                </w:rPr>
                <w:t>CERTIFICATE OF INDEPENDENT BID DETERMINIATION (SBD9)</w:t>
              </w:r>
              <w:r w:rsidR="00DF397A">
                <w:rPr>
                  <w:webHidden/>
                </w:rPr>
                <w:tab/>
              </w:r>
              <w:r>
                <w:rPr>
                  <w:webHidden/>
                </w:rPr>
                <w:fldChar w:fldCharType="begin"/>
              </w:r>
              <w:r w:rsidR="00DF397A">
                <w:rPr>
                  <w:webHidden/>
                </w:rPr>
                <w:instrText xml:space="preserve"> PAGEREF _Toc360622416 \h </w:instrText>
              </w:r>
              <w:r>
                <w:rPr>
                  <w:webHidden/>
                </w:rPr>
              </w:r>
              <w:r>
                <w:rPr>
                  <w:webHidden/>
                </w:rPr>
                <w:fldChar w:fldCharType="separate"/>
              </w:r>
              <w:r w:rsidR="00A913CB">
                <w:rPr>
                  <w:webHidden/>
                </w:rPr>
                <w:t>70</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7" w:history="1">
              <w:r w:rsidR="00DF397A" w:rsidRPr="007A6FEB">
                <w:rPr>
                  <w:rStyle w:val="Hyperlink"/>
                </w:rPr>
                <w:t>Annex I :</w:t>
              </w:r>
              <w:r w:rsidR="00DF397A">
                <w:rPr>
                  <w:rFonts w:asciiTheme="minorHAnsi" w:eastAsiaTheme="minorEastAsia" w:hAnsiTheme="minorHAnsi" w:cstheme="minorBidi"/>
                  <w:b w:val="0"/>
                  <w:bCs w:val="0"/>
                  <w:sz w:val="22"/>
                  <w:lang w:eastAsia="en-ZA"/>
                </w:rPr>
                <w:tab/>
              </w:r>
              <w:r w:rsidR="00DF397A" w:rsidRPr="007A6FEB">
                <w:rPr>
                  <w:rStyle w:val="Hyperlink"/>
                </w:rPr>
                <w:t>GOVERNMENT PROCUREMENT: GENERAL CONDITIONS OF CONTRACT – July 2011</w:t>
              </w:r>
              <w:r w:rsidR="00DF397A">
                <w:rPr>
                  <w:webHidden/>
                </w:rPr>
                <w:tab/>
              </w:r>
              <w:r>
                <w:rPr>
                  <w:webHidden/>
                </w:rPr>
                <w:fldChar w:fldCharType="begin"/>
              </w:r>
              <w:r w:rsidR="00DF397A">
                <w:rPr>
                  <w:webHidden/>
                </w:rPr>
                <w:instrText xml:space="preserve"> PAGEREF _Toc360622417 \h </w:instrText>
              </w:r>
              <w:r>
                <w:rPr>
                  <w:webHidden/>
                </w:rPr>
              </w:r>
              <w:r>
                <w:rPr>
                  <w:webHidden/>
                </w:rPr>
                <w:fldChar w:fldCharType="separate"/>
              </w:r>
              <w:r w:rsidR="00A913CB">
                <w:rPr>
                  <w:webHidden/>
                </w:rPr>
                <w:t>74</w:t>
              </w:r>
              <w:r>
                <w:rPr>
                  <w:webHidden/>
                </w:rPr>
                <w:fldChar w:fldCharType="end"/>
              </w:r>
            </w:hyperlink>
          </w:p>
          <w:p w:rsidR="00DF397A" w:rsidRDefault="00BD44B4">
            <w:pPr>
              <w:pStyle w:val="TOC1"/>
              <w:rPr>
                <w:rFonts w:asciiTheme="minorHAnsi" w:eastAsiaTheme="minorEastAsia" w:hAnsiTheme="minorHAnsi" w:cstheme="minorBidi"/>
                <w:b w:val="0"/>
                <w:bCs w:val="0"/>
                <w:sz w:val="22"/>
                <w:lang w:eastAsia="en-ZA"/>
              </w:rPr>
            </w:pPr>
            <w:hyperlink w:anchor="_Toc360622418" w:history="1">
              <w:r w:rsidR="00DF397A" w:rsidRPr="007A6FEB">
                <w:rPr>
                  <w:rStyle w:val="Hyperlink"/>
                </w:rPr>
                <w:t>Annex J :</w:t>
              </w:r>
              <w:r w:rsidR="00DF397A">
                <w:rPr>
                  <w:rFonts w:asciiTheme="minorHAnsi" w:eastAsiaTheme="minorEastAsia" w:hAnsiTheme="minorHAnsi" w:cstheme="minorBidi"/>
                  <w:b w:val="0"/>
                  <w:bCs w:val="0"/>
                  <w:sz w:val="22"/>
                  <w:lang w:eastAsia="en-ZA"/>
                </w:rPr>
                <w:tab/>
              </w:r>
              <w:r w:rsidR="00DF397A" w:rsidRPr="007A6FEB">
                <w:rPr>
                  <w:rStyle w:val="Hyperlink"/>
                </w:rPr>
                <w:t>Test Volumes</w:t>
              </w:r>
              <w:r w:rsidR="00DF397A">
                <w:rPr>
                  <w:webHidden/>
                </w:rPr>
                <w:tab/>
              </w:r>
              <w:r>
                <w:rPr>
                  <w:webHidden/>
                </w:rPr>
                <w:fldChar w:fldCharType="begin"/>
              </w:r>
              <w:r w:rsidR="00DF397A">
                <w:rPr>
                  <w:webHidden/>
                </w:rPr>
                <w:instrText xml:space="preserve"> PAGEREF _Toc360622418 \h </w:instrText>
              </w:r>
              <w:r>
                <w:rPr>
                  <w:webHidden/>
                </w:rPr>
              </w:r>
              <w:r>
                <w:rPr>
                  <w:webHidden/>
                </w:rPr>
                <w:fldChar w:fldCharType="separate"/>
              </w:r>
              <w:r w:rsidR="00A913CB">
                <w:rPr>
                  <w:b w:val="0"/>
                  <w:bCs w:val="0"/>
                  <w:webHidden/>
                  <w:lang w:val="en-US"/>
                </w:rPr>
                <w:t>Error! Bookmark not defined.</w:t>
              </w:r>
              <w:r>
                <w:rPr>
                  <w:webHidden/>
                </w:rPr>
                <w:fldChar w:fldCharType="end"/>
              </w:r>
            </w:hyperlink>
          </w:p>
          <w:p w:rsidR="00246348" w:rsidRPr="00246348" w:rsidRDefault="00BD44B4"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0622394"/>
      <w:r w:rsidRPr="003B1CA7">
        <w:rPr>
          <w:color w:val="000080"/>
          <w:sz w:val="28"/>
          <w:szCs w:val="28"/>
        </w:rPr>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0622395"/>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4E417D">
        <w:rPr>
          <w:rFonts w:ascii="Verdana" w:hAnsi="Verdana"/>
          <w:sz w:val="20"/>
          <w:szCs w:val="20"/>
        </w:rPr>
        <w:t>(</w:t>
      </w:r>
      <w:r w:rsidR="003B6112">
        <w:rPr>
          <w:rFonts w:ascii="Verdana" w:hAnsi="Verdana"/>
          <w:b/>
          <w:sz w:val="20"/>
          <w:szCs w:val="20"/>
        </w:rPr>
        <w:t>22 NOVEMBER</w:t>
      </w:r>
      <w:r w:rsidR="002437C5" w:rsidRPr="004E417D">
        <w:rPr>
          <w:rFonts w:ascii="Verdana" w:hAnsi="Verdana"/>
          <w:b/>
          <w:sz w:val="20"/>
          <w:szCs w:val="20"/>
        </w:rPr>
        <w:t xml:space="preserve"> 2013</w:t>
      </w:r>
      <w:r w:rsidR="00D71000" w:rsidRPr="004E417D">
        <w:rPr>
          <w:rFonts w:ascii="Verdana" w:hAnsi="Verdana"/>
          <w:b/>
          <w:sz w:val="20"/>
          <w:szCs w:val="20"/>
        </w:rPr>
        <w:t>)</w:t>
      </w:r>
      <w:r w:rsidR="00A072B8" w:rsidRPr="004E417D">
        <w:rPr>
          <w:rFonts w:ascii="Verdana" w:hAnsi="Verdana"/>
          <w:sz w:val="20"/>
          <w:szCs w:val="20"/>
        </w:rPr>
        <w:t xml:space="preserve"> </w:t>
      </w:r>
      <w:r w:rsidR="00490EAF" w:rsidRPr="004E417D">
        <w:rPr>
          <w:rFonts w:ascii="Verdana" w:hAnsi="Verdana"/>
          <w:sz w:val="20"/>
          <w:szCs w:val="20"/>
        </w:rPr>
        <w:t>Under no</w:t>
      </w:r>
      <w:r w:rsidR="00490EAF" w:rsidRPr="00686041">
        <w:rPr>
          <w:rFonts w:ascii="Verdana" w:hAnsi="Verdana"/>
          <w:sz w:val="20"/>
          <w:szCs w:val="20"/>
        </w:rPr>
        <w:t xml:space="preserve">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 xml:space="preserve">Mrs.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BD44B4"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0622396"/>
      <w:r w:rsidRPr="003F13D0">
        <w:rPr>
          <w:color w:val="000080"/>
          <w:sz w:val="28"/>
          <w:szCs w:val="28"/>
        </w:rPr>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0622397"/>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CA49E9" w:rsidRDefault="00CA49E9" w:rsidP="00573620">
      <w:pPr>
        <w:pStyle w:val="Heading1"/>
        <w:tabs>
          <w:tab w:val="clear" w:pos="720"/>
          <w:tab w:val="clear" w:pos="1440"/>
          <w:tab w:val="clear" w:pos="2160"/>
          <w:tab w:val="clear" w:pos="2880"/>
        </w:tabs>
        <w:spacing w:line="360" w:lineRule="auto"/>
        <w:ind w:left="851" w:right="408" w:firstLine="0"/>
        <w:rPr>
          <w:color w:val="000080"/>
          <w:sz w:val="28"/>
          <w:szCs w:val="28"/>
        </w:rPr>
      </w:pPr>
      <w:bookmarkStart w:id="17" w:name="_Toc150587193"/>
      <w:bookmarkStart w:id="18" w:name="_Toc199296471"/>
      <w:bookmarkStart w:id="19" w:name="_Toc360622398"/>
      <w:bookmarkStart w:id="20" w:name="_Toc97010978"/>
    </w:p>
    <w:p w:rsidR="00CA49E9" w:rsidRDefault="00CA49E9" w:rsidP="00CA49E9">
      <w:pPr>
        <w:rPr>
          <w:rFonts w:ascii="Arial" w:hAnsi="Arial"/>
          <w:snapToGrid w:val="0"/>
          <w:lang w:val="en-GB"/>
        </w:rPr>
      </w:pPr>
      <w:r>
        <w:br w:type="page"/>
      </w:r>
    </w:p>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r w:rsidRPr="003F13D0">
        <w:rPr>
          <w:color w:val="000080"/>
          <w:sz w:val="28"/>
          <w:szCs w:val="28"/>
        </w:rPr>
        <w:t>G</w:t>
      </w:r>
      <w:r w:rsidR="00C03619" w:rsidRPr="003F13D0">
        <w:rPr>
          <w:color w:val="000080"/>
          <w:sz w:val="28"/>
          <w:szCs w:val="28"/>
        </w:rPr>
        <w:t>eneral rules and instructions</w:t>
      </w:r>
      <w:bookmarkEnd w:id="17"/>
      <w:bookmarkEnd w:id="18"/>
      <w:bookmarkEnd w:id="19"/>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063BE">
        <w:rPr>
          <w:rFonts w:ascii="Verdana" w:hAnsi="Verdana" w:cs="Arial"/>
          <w:sz w:val="20"/>
          <w:szCs w:val="20"/>
        </w:rPr>
        <w:t xml:space="preserve">, </w:t>
      </w:r>
      <w:r w:rsidR="003B6112">
        <w:rPr>
          <w:rFonts w:ascii="Verdana" w:hAnsi="Verdana" w:cs="Arial"/>
          <w:b/>
          <w:sz w:val="20"/>
          <w:szCs w:val="20"/>
        </w:rPr>
        <w:t>27 NOVEMBER</w:t>
      </w:r>
      <w:r w:rsidR="00C57014" w:rsidRPr="004E417D">
        <w:rPr>
          <w:rFonts w:ascii="Verdana" w:hAnsi="Verdana" w:cs="Arial"/>
          <w:b/>
          <w:sz w:val="20"/>
          <w:szCs w:val="20"/>
        </w:rPr>
        <w:t xml:space="preserve"> 2013</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0622399"/>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0622400"/>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0622401"/>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0622402"/>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0622403"/>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0622404"/>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06542B">
      <w:pPr>
        <w:spacing w:line="360" w:lineRule="auto"/>
        <w:rPr>
          <w:rFonts w:ascii="Verdana" w:hAnsi="Verdana"/>
          <w:sz w:val="20"/>
          <w:szCs w:val="20"/>
        </w:rPr>
      </w:pPr>
      <w:r>
        <w:rPr>
          <w:rFonts w:ascii="Verdana" w:hAnsi="Verdana"/>
          <w:sz w:val="20"/>
          <w:szCs w:val="20"/>
        </w:rPr>
        <w:t>11.1.</w:t>
      </w:r>
      <w:r w:rsidR="00B61B71">
        <w:rPr>
          <w:rFonts w:ascii="Verdana" w:hAnsi="Verdana"/>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12308" w:rsidTr="001F6D49">
        <w:tc>
          <w:tcPr>
            <w:tcW w:w="6708" w:type="dxa"/>
            <w:vMerge w:val="restart"/>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0622405"/>
      <w:r>
        <w:rPr>
          <w:color w:val="000080"/>
          <w:sz w:val="28"/>
          <w:szCs w:val="28"/>
        </w:rPr>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0E1E05" w:rsidRPr="008E0FF0" w:rsidRDefault="00504424" w:rsidP="00867800">
      <w:pPr>
        <w:spacing w:line="360" w:lineRule="auto"/>
        <w:ind w:left="720" w:hanging="720"/>
        <w:jc w:val="both"/>
        <w:rPr>
          <w:rFonts w:ascii="Verdana" w:hAnsi="Verdana" w:cs="Arial"/>
          <w:bCs/>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The bids will be evaluated first based on mandatory requirements a</w:t>
      </w:r>
      <w:bookmarkEnd w:id="37"/>
      <w:bookmarkEnd w:id="38"/>
      <w:bookmarkEnd w:id="39"/>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r w:rsidR="00867800">
        <w:rPr>
          <w:rFonts w:ascii="Verdana" w:hAnsi="Verdana" w:cs="Arial"/>
          <w:bCs/>
          <w:sz w:val="20"/>
          <w:szCs w:val="20"/>
        </w:rPr>
        <w:t xml:space="preserve"> price and B-BBEE</w:t>
      </w:r>
      <w:r w:rsidRPr="008E0FF0">
        <w:rPr>
          <w:rFonts w:ascii="Verdana" w:hAnsi="Verdana" w:cs="Arial"/>
          <w:bCs/>
          <w:sz w:val="20"/>
          <w:szCs w:val="20"/>
        </w:rPr>
        <w:t>.</w:t>
      </w:r>
    </w:p>
    <w:p w:rsidR="000E1E05"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bCs/>
          <w:sz w:val="20"/>
          <w:szCs w:val="20"/>
        </w:rPr>
      </w:pP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3"/>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1" w:name="_Toc360622406"/>
      <w:r>
        <w:rPr>
          <w:color w:val="000080"/>
        </w:rPr>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C45F8B" w:rsidP="00BB5EBC">
      <w:pPr>
        <w:numPr>
          <w:ilvl w:val="2"/>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 xml:space="preserve">To provide Security Services to </w:t>
      </w:r>
      <w:r w:rsidR="00AC1FF8" w:rsidRPr="008E0FF0">
        <w:rPr>
          <w:rFonts w:ascii="Verdana" w:hAnsi="Verdana" w:cs="Verdana"/>
          <w:bCs/>
          <w:sz w:val="20"/>
          <w:szCs w:val="20"/>
        </w:rPr>
        <w:t>(NHLS)</w:t>
      </w:r>
      <w:r>
        <w:rPr>
          <w:rFonts w:ascii="Verdana" w:hAnsi="Verdana" w:cs="Verdana"/>
          <w:bCs/>
          <w:sz w:val="20"/>
          <w:szCs w:val="20"/>
        </w:rPr>
        <w:t xml:space="preserve"> Nationally.</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B56B3F"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B56B3F">
        <w:rPr>
          <w:rFonts w:ascii="Verdana" w:hAnsi="Verdana" w:cs="Verdana"/>
          <w:b/>
          <w:bCs/>
          <w:sz w:val="20"/>
          <w:szCs w:val="20"/>
        </w:rPr>
        <w:t>Scope of Work:</w:t>
      </w:r>
    </w:p>
    <w:p w:rsidR="00B56B3F" w:rsidRPr="00B56B3F" w:rsidRDefault="00B56B3F" w:rsidP="00B56B3F">
      <w:pPr>
        <w:numPr>
          <w:ilvl w:val="1"/>
          <w:numId w:val="46"/>
        </w:numPr>
        <w:tabs>
          <w:tab w:val="left" w:pos="720"/>
        </w:tabs>
        <w:suppressAutoHyphens/>
        <w:spacing w:line="360" w:lineRule="auto"/>
        <w:jc w:val="both"/>
        <w:rPr>
          <w:rFonts w:ascii="Verdana" w:hAnsi="Verdana" w:cs="Verdana"/>
          <w:b/>
          <w:bCs/>
          <w:sz w:val="20"/>
          <w:szCs w:val="20"/>
        </w:rPr>
      </w:pPr>
      <w:r w:rsidRPr="00B56B3F">
        <w:rPr>
          <w:rFonts w:ascii="Verdana" w:hAnsi="Verdana" w:cs="Verdana"/>
          <w:b/>
          <w:bCs/>
          <w:sz w:val="20"/>
          <w:szCs w:val="20"/>
        </w:rPr>
        <w:t>.</w:t>
      </w:r>
      <w:r w:rsidRPr="00B56B3F">
        <w:rPr>
          <w:rFonts w:ascii="Verdana" w:hAnsi="Verdana" w:cs="Verdana"/>
          <w:b/>
          <w:bCs/>
          <w:sz w:val="20"/>
          <w:szCs w:val="20"/>
        </w:rPr>
        <w:tab/>
        <w:t>Security services tender at NHLS, Chrishani Baragwanath NHLS Building</w:t>
      </w:r>
    </w:p>
    <w:p w:rsidR="00B56B3F" w:rsidRPr="00B56B3F" w:rsidRDefault="00B56B3F" w:rsidP="00B56B3F">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B56B3F" w:rsidRPr="00B56B3F" w:rsidRDefault="00B56B3F" w:rsidP="00B56B3F">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B56B3F" w:rsidRDefault="00B56B3F" w:rsidP="006C1352">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To be professional &amp; courteous with all clients, especially non-confrontational</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Disputes to be forwarded to the Security Manager/ Second-in-charge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officers to be in radio contact at all times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new officers to be polygraph tested as to their dependability &amp; honesty &amp; the report to be sent to the responsible person of NHLS Security prior to being placed on site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Access control of staff and visitors at Main entrance and Delivery gat</w:t>
      </w:r>
      <w:r>
        <w:rPr>
          <w:rFonts w:ascii="Verdana" w:hAnsi="Verdana"/>
          <w:color w:val="000000"/>
          <w:sz w:val="20"/>
          <w:szCs w:val="20"/>
        </w:rPr>
        <w:t>e.</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Access control of staff and visitors at all gates and access points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Officers conducting searches at the Gates must have white gloves &amp; a white baton approved by the NHLS to conduct searches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Security staff on site to be physically able to respond immediately to a situation and to facilitate a rapid reaction time on the opening &amp; closing of the gates / door</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staff not to interfere with any equipment without authorization from the NHLS Security Manager</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Control of searching via random searching mechanism or any method as required by NHLS</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Appropriate control of visitors to site (NHLS to provide all the necessary books, forms &amp; stickers)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Adequate clothing, which will be a uniform, as to weather / seasonal conditions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Adequate night patrolling of building after hours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Monitoring of all doors &amp; windows being locked in departments after hours and over weekends.  Notification of those areas found to be unlocked.</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staff entering the building must swipe their access cards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visitors must sign in the visitors register book and be handed visitor stickers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It is the responsibility of the day &amp; night shifts to keep the guard facilities clean at all times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officers to ensure that persons entering the site park in the correct zones allocated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to be handed a list of staff extension numbers to confirm appointments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valuables (laptops, cameras) to be declared. Serial numbers and Make / Model to be entered onto same visitors register with a reference number. On exit the details must be verified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People walking around must be able to identify themselves either by access cards or by visitor’s stickers. Guards to check on people walking around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NHLS will supply photos of valuables which may not leave the premises without a valid permit/pass-out</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Staff leaving the premises must swipe their cards or sign an exit form which will be handed over to NHLS Representative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&amp; weekly situation reports to be submitted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No visitors allowed on site during weekends and public holidays without the permission of NHLS, except for emergency repair and maintenance in which case NHLS Representative must be informed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Officers on lunch or breaks are to be relieved by another security officer with the authorization of the Security Manager. No posts are to be left unattended</w:t>
      </w:r>
      <w:r>
        <w:rPr>
          <w:rFonts w:ascii="Verdana" w:hAnsi="Verdana"/>
          <w:color w:val="000000"/>
          <w:sz w:val="20"/>
          <w:szCs w:val="20"/>
        </w:rPr>
        <w:t>.</w:t>
      </w:r>
    </w:p>
    <w:p w:rsidR="00B56B3F" w:rsidRPr="00CA49E9" w:rsidRDefault="00795666" w:rsidP="006C1352">
      <w:pPr>
        <w:numPr>
          <w:ilvl w:val="3"/>
          <w:numId w:val="46"/>
        </w:numPr>
        <w:tabs>
          <w:tab w:val="left" w:pos="720"/>
        </w:tabs>
        <w:suppressAutoHyphens/>
        <w:spacing w:line="360" w:lineRule="auto"/>
        <w:jc w:val="both"/>
        <w:rPr>
          <w:rFonts w:ascii="Verdana" w:hAnsi="Verdana" w:cs="Verdana"/>
          <w:bCs/>
          <w:sz w:val="20"/>
          <w:szCs w:val="20"/>
        </w:rPr>
      </w:pPr>
      <w:r w:rsidRPr="00CA49E9">
        <w:rPr>
          <w:rFonts w:ascii="Verdana" w:hAnsi="Verdana"/>
          <w:color w:val="000000"/>
          <w:sz w:val="20"/>
          <w:szCs w:val="20"/>
        </w:rPr>
        <w:t>Mr. Sam Ntombela cell no. 082 800 8931 / 011 489 9042.</w:t>
      </w:r>
    </w:p>
    <w:p w:rsidR="00795666" w:rsidRPr="00B56B3F" w:rsidRDefault="00795666" w:rsidP="006C1352">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795666">
        <w:tc>
          <w:tcPr>
            <w:tcW w:w="2881" w:type="dxa"/>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3</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2</w:t>
            </w:r>
          </w:p>
        </w:tc>
      </w:tr>
    </w:tbl>
    <w:p w:rsidR="00C45F8B" w:rsidRDefault="00C45F8B" w:rsidP="00C45F8B">
      <w:pPr>
        <w:rPr>
          <w:rFonts w:ascii="Verdana" w:hAnsi="Verdana"/>
          <w:color w:val="000000"/>
          <w:sz w:val="20"/>
          <w:szCs w:val="20"/>
        </w:rPr>
      </w:pPr>
    </w:p>
    <w:p w:rsidR="006C1352" w:rsidRDefault="006C1352" w:rsidP="006C1352">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Braamfontein Campus</w:t>
      </w:r>
    </w:p>
    <w:p w:rsidR="006C1352" w:rsidRPr="00B56B3F" w:rsidRDefault="006C1352" w:rsidP="006C1352">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6C1352" w:rsidRPr="00B56B3F" w:rsidRDefault="006C1352" w:rsidP="006C1352">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6C1352" w:rsidRDefault="006C1352" w:rsidP="006C1352">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To be professional &amp; courteous with all clients, especially non-confrontational.</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Disputes to be forwarded to the Security Manager/ Second-in-charge.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officers to be in radio contact at all times.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The spare batteries are to be kept charged.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Access control of staff and visitors at Main entrance and Delivery gates, pedestrian scanning points and NIOH gates.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Access control of staff and visitors at all gates and access points.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Officers conducting searches at the Gates must have white gloves &amp; a white baton approved by the NHLS to conduct searches.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gates close at 18:00 on weekdays.  Only Main gate remain operational after 18:00 weekdays as well as weekends and public holidays, but locked.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Security staff on NHLS and NIOH site to be physically able to respond immediately to a situation and to facilitate a rapid reaction time on the opening &amp; closing of the Gates.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staff not to interfere with any equipment without authorization from the NHLS Security Manager.</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Control of searching via random searching mechanism or any method as required by NHLS.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Appropriate control of visitors to site (NHLS to provide all the necessary books, forms &amp; stickers).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Patrolling of site and perimeter during the day and night</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Adequate clothing, which will be a uniform, as to weather / seasonal conditions.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Adequate night patrolling of complex after hours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Monitoring of all doors &amp; windows being locked in departments after hours and over weekends.  Notification of those areas found to be unlocked.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staff entering the gate must swipe their access cards, even when passengers.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visitors must sign in the visitors register book and be handed visitor stickers, even when passengers.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It is the responsibility of the day &amp; night shifts to keep the guardhouse &amp; facilities clean at all times.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 monitoring system to be installed by Service Provider as part of tender.</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 reports to be sent the following day or as required by NHLS.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officers to ensure that persons entering the site park in the correct zones allocated.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Security to be handed a list of staff extension numbers to confirm appointments.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No fire arms to be allowed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People walking around must be able to identify themselves either by access cards or by visitor’s stickers. Guards to check on people walking around.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NHLS will supply photos of valuables which may not leave the premises without a valid permit/pass-out.</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Staff leaving the premises must swipe their cards, even when passengers in a vehicle, or sign an exit form which will be handed over to NHLS Representative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vehicles leaving the premises must be properly searched.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Daily &amp; weekly situation reports to be submitted.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Once permission has been granted, these visitors must be escorted with a Security Guard. The Guard to remain with the visitor until the relative work has been completed and escorts him/her back to the exit gate.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People caught speeding and / or not adhering to the traffic signs, must be warned and reported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Perimeter patrol times and routes are to be changed on a daily basis.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Officers on lunch or breaks are to be relieved by another security officer with the authorization of the Security Manager. No posts are to be left unattended.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Monitor electric fence (control panel in Guard house at Main gate).</w:t>
      </w:r>
    </w:p>
    <w:p w:rsid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Mr. Sam Ntombela cell no. 082 800 8931 / 011 489 9042 </w:t>
      </w:r>
    </w:p>
    <w:p w:rsidR="006C1352" w:rsidRPr="006C1352" w:rsidRDefault="006C1352"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6C1352">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14</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5</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Guard Dog with Handler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15</w:t>
            </w:r>
          </w:p>
        </w:tc>
      </w:tr>
    </w:tbl>
    <w:p w:rsidR="00C45F8B" w:rsidRPr="00B56B3F" w:rsidRDefault="00C45F8B" w:rsidP="00904413">
      <w:pPr>
        <w:spacing w:line="360" w:lineRule="auto"/>
        <w:rPr>
          <w:rFonts w:ascii="Verdana" w:hAnsi="Verdana"/>
          <w:color w:val="000000"/>
          <w:sz w:val="20"/>
          <w:szCs w:val="20"/>
        </w:rPr>
      </w:pPr>
    </w:p>
    <w:p w:rsidR="006C1352" w:rsidRDefault="006C1352"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sidR="00161F4D">
        <w:rPr>
          <w:rFonts w:ascii="Verdana" w:hAnsi="Verdana" w:cs="Verdana"/>
          <w:b/>
          <w:bCs/>
          <w:sz w:val="20"/>
          <w:szCs w:val="20"/>
        </w:rPr>
        <w:t>Charlotte Maxeke</w:t>
      </w:r>
      <w:r>
        <w:rPr>
          <w:rFonts w:ascii="Verdana" w:hAnsi="Verdana" w:cs="Verdana"/>
          <w:b/>
          <w:bCs/>
          <w:sz w:val="20"/>
          <w:szCs w:val="20"/>
        </w:rPr>
        <w:t xml:space="preserve"> Campus</w:t>
      </w:r>
    </w:p>
    <w:p w:rsidR="006C1352" w:rsidRPr="00B56B3F" w:rsidRDefault="006C1352"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6C1352" w:rsidRPr="00B56B3F" w:rsidRDefault="006C1352"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6C1352" w:rsidRDefault="006C1352"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Access control of staff and visitors at all access points.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Security staff not to interfere with any equipment without authorization from the NHLS Security Manager.</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Adequate clothing, which will be a uniform, as to weather / seasonal conditions.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Adequate night patrolling of Labs after hours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 xml:space="preserve">Monitoring of all doors &amp; windows being locked in departments after hours and over weekends.  Notification of those areas found to be unlocked. </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No fire arms to be allowed</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Daily &amp; weekly situation reports to be submitted.</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 xml:space="preserve">Mr. Sam Ntombela cell no. 082 800 8931 / 011 489 9042 </w:t>
      </w:r>
    </w:p>
    <w:p w:rsidR="006C1352" w:rsidRPr="006C1352" w:rsidRDefault="006C1352"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904413">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C45F8B" w:rsidRPr="00B56B3F" w:rsidRDefault="00C45F8B" w:rsidP="00904413">
      <w:pPr>
        <w:spacing w:line="360" w:lineRule="auto"/>
        <w:rPr>
          <w:rFonts w:ascii="Verdana" w:hAnsi="Verdana"/>
          <w:color w:val="000000"/>
          <w:sz w:val="20"/>
          <w:szCs w:val="20"/>
        </w:rPr>
      </w:pPr>
    </w:p>
    <w:p w:rsidR="00904413" w:rsidRDefault="00904413"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149 PRINCE STREET, DURBAN</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Disputes to be forwarded to the Security Manager/ Second-in-charge.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Access control of staff and visitors at Main entrance, Delivery gate and pedestrian scanning points and gates.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Access control of staff and visitors at all gates and access points.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Officers conducting searches at the Gates must have white gloves &amp; a white baton approved by the NHLS to conduct searches.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Security staff on site to be physically able to respond immediately to a situation and to facilitate a rapid reaction time on the opening &amp; closing of the Gates.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Security Manager.</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Control of searching via random searching mechanism or any method as required by NHLS.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Appropriate control of visitors to site (NHLS to provide all the necessary books, forms &amp; stickers).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Patrolling of site and perimeter during the night</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staff entering the Complex must swipe their access cards, even when passengers.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visitors must sign in the visitors register book and be handed visitor stickers.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It is the responsibility of the day &amp; night shifts to keep the guardhouse &amp; facilities clean at all times.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 reports to be sent the following day or as required by NHLS.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People walking around must be able to identify themselves either by access cards or by visitor’s stickers. Guards to check on people walking around.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Staff leaving the premises must swipe their cards, even when passengers in a vehicle, or sign an exit form which will be handed over to NHLS Representative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vehicles leaving the premises must be properly searched.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Officers on lunch or breaks are to be relieved by another security officer with the authorization of the Security Manager. No posts are to be left unattended.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Monitor CCTV cameras</w:t>
      </w:r>
    </w:p>
    <w:p w:rsid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Mr. Noel Theunis cell no. 031 327 6735</w:t>
      </w:r>
    </w:p>
    <w:p w:rsidR="00904413" w:rsidRPr="006C1352" w:rsidRDefault="00904413"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904413">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Saturday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4</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573620" w:rsidRDefault="00573620" w:rsidP="00C45F8B">
      <w:pPr>
        <w:rPr>
          <w:rFonts w:ascii="Verdana" w:hAnsi="Verdana"/>
          <w:color w:val="000000"/>
          <w:sz w:val="20"/>
          <w:szCs w:val="20"/>
        </w:rPr>
      </w:pPr>
    </w:p>
    <w:p w:rsidR="00573620" w:rsidRDefault="00573620">
      <w:pPr>
        <w:rPr>
          <w:rFonts w:ascii="Verdana" w:hAnsi="Verdana"/>
          <w:color w:val="000000"/>
          <w:sz w:val="20"/>
          <w:szCs w:val="20"/>
        </w:rPr>
      </w:pPr>
      <w:r>
        <w:rPr>
          <w:rFonts w:ascii="Verdana" w:hAnsi="Verdana"/>
          <w:color w:val="000000"/>
          <w:sz w:val="20"/>
          <w:szCs w:val="20"/>
        </w:rPr>
        <w:br w:type="page"/>
      </w:r>
    </w:p>
    <w:p w:rsidR="00904413" w:rsidRDefault="00904413"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sidR="00161F4D">
        <w:rPr>
          <w:rFonts w:ascii="Verdana" w:hAnsi="Verdana" w:cs="Verdana"/>
          <w:b/>
          <w:bCs/>
          <w:sz w:val="20"/>
          <w:szCs w:val="20"/>
        </w:rPr>
        <w:t>Green Point Campus</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staff on site to be physically able to respond immediately to a situation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Representative</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Patrolling of site and perimeter during the night</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It is the responsibility of the day &amp; night shifts to keep their facilities clean at all times.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reports to be sent the following day or as required by NHLS.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Me. Vivienne Rae cell no. 021 417 9378 </w:t>
      </w:r>
    </w:p>
    <w:p w:rsidR="00904413" w:rsidRPr="006C1352" w:rsidRDefault="00904413"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B56B3F" w:rsidTr="00904413">
        <w:tc>
          <w:tcPr>
            <w:tcW w:w="2881" w:type="dxa"/>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B56B3F" w:rsidRPr="00B56B3F" w:rsidTr="00904413">
        <w:tc>
          <w:tcPr>
            <w:tcW w:w="2881" w:type="dxa"/>
          </w:tcPr>
          <w:p w:rsidR="00B56B3F" w:rsidRPr="00B56B3F" w:rsidRDefault="00B56B3F"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B56B3F" w:rsidRPr="00B56B3F" w:rsidTr="00904413">
        <w:tc>
          <w:tcPr>
            <w:tcW w:w="2881" w:type="dxa"/>
          </w:tcPr>
          <w:p w:rsidR="00B56B3F" w:rsidRPr="00B56B3F" w:rsidRDefault="00B56B3F"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B56B3F" w:rsidRDefault="00B56B3F" w:rsidP="00E149B6">
      <w:pPr>
        <w:spacing w:line="360" w:lineRule="auto"/>
        <w:rPr>
          <w:rFonts w:ascii="Verdana" w:hAnsi="Verdana"/>
          <w:color w:val="000000"/>
          <w:sz w:val="20"/>
          <w:szCs w:val="20"/>
        </w:rPr>
      </w:pPr>
    </w:p>
    <w:p w:rsidR="00904413" w:rsidRDefault="00904413" w:rsidP="00E149B6">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PORT ELIZABETH CAMPUS</w:t>
      </w:r>
    </w:p>
    <w:p w:rsidR="00904413" w:rsidRPr="00B56B3F" w:rsidRDefault="00904413" w:rsidP="00E149B6">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E149B6">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E149B6">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Access control of staff and visitors at Main entrance and gates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Officers conducting searches at the Gates must have white gloves &amp; a white baton approved by the NHLS to conduct searches.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gates close at 18:00 on weekdays.  Only Main gate remain operational after 18:00 weekdays as well as weekends and public holidays, but locked.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Security staff on site to be physically able to respond immediately to a situation and to facilitate a rapid reaction time on the opening &amp; closing of the Gates.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Representative</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Control of searching via random searching mechanism or any method as required by NHLS.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Appropriate control of visitors to site (NHLS to provide all the necessary books, forms &amp; stickers).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Patrolling of site and perimeter during the day and night</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visitors must sign in the visitors register book and be handed visitor stickers, even when passengers.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It is the responsibility of the day &amp; night shifts to keep the guardhouse &amp; facilities clean at all times.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reports to be sent the following day or as required by NHLS.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People walking around must be able to identify themselves either by access cards or by visitor’s stickers. Guards to c</w:t>
      </w:r>
      <w:r w:rsidR="00E149B6">
        <w:rPr>
          <w:rFonts w:ascii="Verdana" w:hAnsi="Verdana"/>
          <w:color w:val="000000"/>
          <w:sz w:val="20"/>
          <w:szCs w:val="20"/>
        </w:rPr>
        <w:t>heck on people walking around.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vehicles leaving the premises must be properly searched.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on lunch or breaks are to be relieved by another security officer with the authorization of the Security Manager. No posts are to be left unattended.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Mr. Gideon Olivier cell no. 041 395 6148 </w:t>
      </w:r>
    </w:p>
    <w:p w:rsidR="00904413" w:rsidRPr="006C1352" w:rsidRDefault="00904413" w:rsidP="00E149B6">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B56B3F" w:rsidTr="00E149B6">
        <w:tc>
          <w:tcPr>
            <w:tcW w:w="2881" w:type="dxa"/>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B56B3F" w:rsidRPr="00B56B3F" w:rsidTr="00E149B6">
        <w:tc>
          <w:tcPr>
            <w:tcW w:w="2881" w:type="dxa"/>
          </w:tcPr>
          <w:p w:rsidR="00B56B3F" w:rsidRPr="00B56B3F" w:rsidRDefault="00B56B3F" w:rsidP="00E149B6">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B56B3F" w:rsidRPr="00B56B3F" w:rsidTr="00E149B6">
        <w:tc>
          <w:tcPr>
            <w:tcW w:w="2881" w:type="dxa"/>
          </w:tcPr>
          <w:p w:rsidR="00B56B3F" w:rsidRPr="00B56B3F" w:rsidRDefault="00B56B3F" w:rsidP="00E149B6">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2</w:t>
            </w:r>
          </w:p>
        </w:tc>
      </w:tr>
    </w:tbl>
    <w:p w:rsidR="00B56B3F" w:rsidRPr="00E149B6" w:rsidRDefault="00B56B3F" w:rsidP="00E149B6">
      <w:pPr>
        <w:spacing w:line="360" w:lineRule="auto"/>
        <w:rPr>
          <w:rFonts w:ascii="Verdana" w:hAnsi="Verdana"/>
          <w:color w:val="000000"/>
          <w:sz w:val="20"/>
          <w:szCs w:val="20"/>
        </w:rPr>
      </w:pPr>
    </w:p>
    <w:p w:rsidR="00E149B6" w:rsidRPr="00E149B6" w:rsidRDefault="00E149B6" w:rsidP="00E149B6">
      <w:pPr>
        <w:numPr>
          <w:ilvl w:val="1"/>
          <w:numId w:val="46"/>
        </w:numPr>
        <w:tabs>
          <w:tab w:val="left" w:pos="720"/>
        </w:tabs>
        <w:suppressAutoHyphens/>
        <w:spacing w:line="360" w:lineRule="auto"/>
        <w:jc w:val="both"/>
        <w:rPr>
          <w:rFonts w:ascii="Verdana" w:hAnsi="Verdana" w:cs="Verdana"/>
          <w:b/>
          <w:bCs/>
          <w:sz w:val="20"/>
          <w:szCs w:val="20"/>
        </w:rPr>
      </w:pPr>
      <w:r w:rsidRPr="00E149B6">
        <w:rPr>
          <w:rFonts w:ascii="Verdana" w:hAnsi="Verdana" w:cs="Verdana"/>
          <w:b/>
          <w:bCs/>
          <w:sz w:val="20"/>
          <w:szCs w:val="20"/>
        </w:rPr>
        <w:t>.</w:t>
      </w:r>
      <w:r w:rsidRPr="00E149B6">
        <w:rPr>
          <w:rFonts w:ascii="Verdana" w:hAnsi="Verdana" w:cs="Verdana"/>
          <w:b/>
          <w:bCs/>
          <w:sz w:val="20"/>
          <w:szCs w:val="20"/>
        </w:rPr>
        <w:tab/>
        <w:t>Security services tender at NHLS, SANDRINGHAM CAMPUS</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Cs/>
          <w:sz w:val="20"/>
          <w:szCs w:val="20"/>
        </w:rPr>
      </w:pPr>
      <w:r w:rsidRPr="00E149B6">
        <w:rPr>
          <w:rFonts w:ascii="Verdana" w:hAnsi="Verdana" w:cs="Verdana"/>
          <w:bCs/>
          <w:sz w:val="20"/>
          <w:szCs w:val="20"/>
        </w:rPr>
        <w:t>Supply as Indicated:</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The NHLS reserves the right to terminate the said agreement if a major theft occurs</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Proof of registration with SIRA must be submitted with Tender documents</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Cs/>
          <w:sz w:val="20"/>
          <w:szCs w:val="20"/>
        </w:rPr>
      </w:pPr>
      <w:r w:rsidRPr="00E149B6">
        <w:rPr>
          <w:rFonts w:ascii="Verdana" w:hAnsi="Verdana"/>
          <w:color w:val="000000"/>
          <w:sz w:val="20"/>
          <w:szCs w:val="20"/>
        </w:rPr>
        <w:t>Daily liaison with General Services Controller either on site or via telephone</w:t>
      </w:r>
      <w:r w:rsidR="00460116">
        <w:rPr>
          <w:rFonts w:ascii="Verdana" w:hAnsi="Verdana"/>
          <w:color w:val="000000"/>
          <w:sz w:val="20"/>
          <w:szCs w:val="20"/>
        </w:rPr>
        <w:t>.</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
          <w:bCs/>
          <w:sz w:val="20"/>
          <w:szCs w:val="20"/>
        </w:rPr>
      </w:pPr>
      <w:r w:rsidRPr="00E149B6">
        <w:rPr>
          <w:rFonts w:ascii="Verdana" w:hAnsi="Verdana" w:cs="Verdana"/>
          <w:bCs/>
          <w:sz w:val="20"/>
          <w:szCs w:val="20"/>
        </w:rPr>
        <w:tab/>
      </w:r>
      <w:r w:rsidRPr="00E149B6">
        <w:rPr>
          <w:rFonts w:ascii="Verdana" w:hAnsi="Verdana" w:cs="Verdana"/>
          <w:b/>
          <w:bCs/>
          <w:sz w:val="20"/>
          <w:szCs w:val="20"/>
        </w:rPr>
        <w:t>DUTIES OF SECURITY PERSONNEL INCLUDE BUT NOT LIMITED TO:</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To be professional &amp; courteous with all clients, especially non-confrontational.</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Disputes to be forwarded to the Security Manager/ Second-in-charge.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officers to be in radio contact at all times.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The spare batteries are to be kept charged.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of staff and visitors at Main entrance gate, pedestrian scanning points, PRF gate and Delivery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Main Gate Officers to be vigilant against vehicles unable to fit through the Main Gate due to the height restriction. One Guard to be externally at the Gate of the entrance during the day shift.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of staff and visitors at Main gate, pedestrian scanning points and Delivery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Officers conducting searches at the Gates must have white gloves &amp; a white baton approved by the NHLS to conduct searches.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at Reception after working hours at NHLS Main Reception.</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Both gates closes at 18:00 on weekdays.  Only Main gate remain operational after 18:00 weekdays as well as weekends and public holidays, but locked.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Security staff on NHLS site to be physically able to respond immediately to a situation and to facilitate a rapid reaction time on the opening &amp; closing of the Gates.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staff not to interfere with any equipment without authorization from the NHLS Security Manager.</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Control of searching via random searching mechanism or any method as required by NHLS.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Appropriate control of visitors to site (NHLS to provide all the necessary books, forms &amp; stickers).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Patrolling of site and perimeter during the day and night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Adequate clothing, which will be a uniform, as to weather / seasonal conditions.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Adequate night patrolling of complex after hours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During Quad patrolling the driver is to wear a helmet.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Monitoring of all doors &amp; windows being locked in departments after hours and over weekends.  Notification of those areas found to be unlocked.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Specifically monitoring of IT Wing, PRF building, HR Archive, DMP, Mail room, Workshops, stables, boiler room, diesel storage and lower perimeter wall.</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 monitoring system to be installed by Service Provider as part of tender.</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 reports to be sent the following day or as required by NHLS.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staff entering the gate must swipe their access cards, even when passengers.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visitors must sign in the visitors register book and be handed visitor stickers, even when passengers.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It is the responsibility of the day &amp; night shifts to keep the guardhouses &amp; facilities clean at all times.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officers to ensure that persons entering the site park in the correct zones allocated.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Security to be handed a list of staff extension numbers to confirm appointments.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No fire arms to be allowed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People walking around must be able to identify themselves either by access cards or by visitor’s stickers. Guards to check on people walking around.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NHLS will supply photos of valuables which may not leave the premises without a valid permit/pass-out.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Staff leaving the premises must swipe their cards, even when passengers in a vehicle, or sign an exit form which will be handed over to NHLS Representative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vehicles leaving the premises must be properly searched.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Daily &amp; weekly situation reports to be submitted.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Once permission has been granted, these visitors must be escorted with a Security Guard. The Guard to remain with the visitor until the relative work has been completed and escorts him/her back to the exit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People caught speeding and / or not adhering to the traffic signs, must be warned and reported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Perimeter patrol times and routes are to be changed on a daily basis.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Officers on lunch or breaks are to be relieved by another security officer with the authorization of the Security Manager. No posts are to be left unattended.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electric fence (control panel in Guard house at Main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Daily hoisting and lowering of flags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CCTV cameras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fire detection systems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Mr. Jefferson Payne cell no. 082 804 2994 / 011 386 6182 </w:t>
      </w:r>
    </w:p>
    <w:p w:rsidR="00E149B6" w:rsidRPr="00E149B6" w:rsidRDefault="00E149B6" w:rsidP="00E149B6">
      <w:pPr>
        <w:numPr>
          <w:ilvl w:val="3"/>
          <w:numId w:val="46"/>
        </w:numPr>
        <w:tabs>
          <w:tab w:val="left" w:pos="720"/>
        </w:tabs>
        <w:suppressAutoHyphens/>
        <w:spacing w:line="360" w:lineRule="auto"/>
        <w:jc w:val="both"/>
        <w:rPr>
          <w:rFonts w:ascii="Verdana" w:hAnsi="Verdana" w:cs="Verdana"/>
          <w:bCs/>
          <w:sz w:val="20"/>
          <w:szCs w:val="20"/>
        </w:rPr>
      </w:pPr>
      <w:r w:rsidRPr="00E149B6">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E149B6" w:rsidTr="00E149B6">
        <w:tc>
          <w:tcPr>
            <w:tcW w:w="2881" w:type="dxa"/>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t>ACTIVITIES</w:t>
            </w:r>
          </w:p>
        </w:tc>
        <w:tc>
          <w:tcPr>
            <w:tcW w:w="1626" w:type="dxa"/>
            <w:shd w:val="clear" w:color="auto" w:fill="auto"/>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t>PERIOD</w:t>
            </w:r>
          </w:p>
        </w:tc>
        <w:tc>
          <w:tcPr>
            <w:tcW w:w="1836" w:type="dxa"/>
            <w:shd w:val="clear" w:color="auto" w:fill="auto"/>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t>QUANTITY</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A Grade Site Manager (day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A Grade Site Manager (night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D grade guards (day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10</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D grade guards (night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10</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Quad bike</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2 Way radios including spare batteries</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12</w:t>
            </w:r>
          </w:p>
        </w:tc>
      </w:tr>
    </w:tbl>
    <w:p w:rsidR="00B56B3F" w:rsidRPr="00361E53" w:rsidRDefault="00B56B3F" w:rsidP="00B56B3F">
      <w:pPr>
        <w:rPr>
          <w:color w:val="000000"/>
        </w:rPr>
      </w:pPr>
    </w:p>
    <w:p w:rsidR="00AC1FF8" w:rsidRDefault="00AC1FF8" w:rsidP="000617B9">
      <w:pPr>
        <w:spacing w:line="360" w:lineRule="auto"/>
        <w:ind w:left="1134"/>
        <w:rPr>
          <w:rFonts w:ascii="Verdana" w:hAnsi="Verdana" w:cs="Arial"/>
          <w:sz w:val="20"/>
          <w:szCs w:val="20"/>
        </w:rPr>
      </w:pPr>
    </w:p>
    <w:p w:rsidR="00B9187C" w:rsidRDefault="00B9187C" w:rsidP="00E149B6">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495271" w:rsidRDefault="00495271" w:rsidP="008A3B1A">
      <w:pPr>
        <w:spacing w:line="360" w:lineRule="auto"/>
        <w:rPr>
          <w:color w:val="000080"/>
        </w:rPr>
      </w:pPr>
    </w:p>
    <w:p w:rsidR="004F762A" w:rsidRDefault="004F762A" w:rsidP="004F762A">
      <w:pPr>
        <w:rPr>
          <w:rFonts w:ascii="Verdana" w:hAnsi="Verdana" w:cs="Arial"/>
          <w:b/>
          <w:bCs/>
          <w:sz w:val="22"/>
          <w:szCs w:val="22"/>
          <w:u w:val="single"/>
        </w:rPr>
      </w:pPr>
      <w:r w:rsidRPr="00AF729C">
        <w:rPr>
          <w:rFonts w:ascii="Verdana" w:hAnsi="Verdana" w:cs="Arial"/>
          <w:b/>
          <w:bCs/>
          <w:sz w:val="22"/>
          <w:szCs w:val="22"/>
          <w:u w:val="single"/>
        </w:rPr>
        <w:t>Technical suitability (Functionality)</w:t>
      </w:r>
    </w:p>
    <w:p w:rsidR="004F762A" w:rsidRPr="00CA296B" w:rsidRDefault="004F762A" w:rsidP="004F762A">
      <w:pPr>
        <w:ind w:firstLine="360"/>
        <w:rPr>
          <w:rFonts w:ascii="Verdana" w:hAnsi="Verdana" w:cs="Arial"/>
          <w:b/>
          <w:bCs/>
          <w:sz w:val="22"/>
          <w:szCs w:val="22"/>
          <w:u w:val="single"/>
        </w:rPr>
      </w:pPr>
    </w:p>
    <w:p w:rsidR="004F762A" w:rsidRDefault="004F762A" w:rsidP="004F762A">
      <w:pPr>
        <w:spacing w:line="360" w:lineRule="auto"/>
        <w:jc w:val="both"/>
        <w:rPr>
          <w:rFonts w:ascii="Verdana" w:hAnsi="Verdana" w:cs="Arial"/>
          <w:b/>
          <w:bCs/>
          <w:sz w:val="20"/>
          <w:szCs w:val="20"/>
        </w:rPr>
      </w:pPr>
      <w:r w:rsidRPr="00D3336A">
        <w:rPr>
          <w:rFonts w:ascii="Verdana" w:hAnsi="Verdana" w:cs="Arial"/>
          <w:b/>
          <w:bCs/>
          <w:sz w:val="20"/>
          <w:szCs w:val="20"/>
        </w:rPr>
        <w:t xml:space="preserve">Please Note: It is mandatory for vendors to substantiate each of the criteria below in order for </w:t>
      </w:r>
      <w:r w:rsidR="008A3582">
        <w:rPr>
          <w:rFonts w:ascii="Verdana" w:hAnsi="Verdana" w:cs="Arial"/>
          <w:b/>
          <w:bCs/>
          <w:sz w:val="20"/>
          <w:szCs w:val="20"/>
        </w:rPr>
        <w:t>NHLS</w:t>
      </w:r>
      <w:r w:rsidRPr="00D3336A">
        <w:rPr>
          <w:rFonts w:ascii="Verdana" w:hAnsi="Verdana" w:cs="Arial"/>
          <w:b/>
          <w:bCs/>
          <w:sz w:val="20"/>
          <w:szCs w:val="20"/>
        </w:rPr>
        <w:t xml:space="preserve"> to understand how a particular criterion is implemented by the vendor concerned.</w:t>
      </w:r>
      <w:r>
        <w:rPr>
          <w:rFonts w:ascii="Verdana" w:hAnsi="Verdana" w:cs="Arial"/>
          <w:b/>
          <w:bCs/>
          <w:sz w:val="20"/>
          <w:szCs w:val="20"/>
        </w:rPr>
        <w:t xml:space="preserve"> Failure to not substantiate will lead to disqualification </w:t>
      </w:r>
    </w:p>
    <w:p w:rsidR="004F762A" w:rsidRDefault="004F762A" w:rsidP="004F762A">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4F762A" w:rsidRDefault="004F762A" w:rsidP="004F762A">
      <w:pPr>
        <w:spacing w:line="360" w:lineRule="auto"/>
        <w:rPr>
          <w:rFonts w:ascii="Verdana" w:hAnsi="Verdana"/>
          <w:b/>
          <w:sz w:val="20"/>
          <w:szCs w:val="20"/>
        </w:rPr>
      </w:pPr>
    </w:p>
    <w:p w:rsidR="004F762A" w:rsidRDefault="004F762A" w:rsidP="004F762A">
      <w:pPr>
        <w:pStyle w:val="NewHeading1"/>
        <w:ind w:firstLine="0"/>
        <w:rPr>
          <w:rFonts w:ascii="Verdana" w:hAnsi="Verdana"/>
          <w:sz w:val="20"/>
          <w:szCs w:val="20"/>
        </w:rPr>
      </w:pPr>
      <w:r>
        <w:rPr>
          <w:rFonts w:ascii="Arial" w:hAnsi="Arial"/>
          <w:b/>
          <w:snapToGrid w:val="0"/>
          <w:sz w:val="22"/>
          <w:lang w:val="en-GB"/>
        </w:rPr>
        <w:t>Capability of Company and staff to be utilized for this contract</w:t>
      </w:r>
      <w:r>
        <w:rPr>
          <w:rFonts w:ascii="Verdana" w:hAnsi="Verdana"/>
          <w:sz w:val="20"/>
          <w:szCs w:val="20"/>
        </w:rPr>
        <w:t>:</w:t>
      </w:r>
    </w:p>
    <w:p w:rsidR="004F762A" w:rsidRPr="00B172C7" w:rsidRDefault="004F762A" w:rsidP="004F762A">
      <w:pPr>
        <w:rPr>
          <w:rFonts w:ascii="Verdana" w:hAnsi="Verdana"/>
          <w:b/>
          <w:sz w:val="20"/>
          <w:szCs w:val="20"/>
        </w:rPr>
      </w:pPr>
    </w:p>
    <w:p w:rsidR="004F762A" w:rsidRPr="00670D6E" w:rsidRDefault="008A3582" w:rsidP="004F762A">
      <w:pPr>
        <w:pStyle w:val="Heading2"/>
        <w:numPr>
          <w:ilvl w:val="0"/>
          <w:numId w:val="0"/>
        </w:numPr>
        <w:ind w:left="595" w:hanging="55"/>
      </w:pPr>
      <w:bookmarkStart w:id="42" w:name="_Toc246820426"/>
      <w:bookmarkStart w:id="43" w:name="_Toc347471331"/>
      <w:r>
        <w:t>1</w:t>
      </w:r>
      <w:r w:rsidR="004F762A">
        <w:t>.1</w:t>
      </w:r>
      <w:r w:rsidR="004F762A">
        <w:tab/>
        <w:t xml:space="preserve">      </w:t>
      </w:r>
      <w:r w:rsidR="004F762A" w:rsidRPr="00670D6E">
        <w:t>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0"/>
        <w:gridCol w:w="1221"/>
        <w:gridCol w:w="1378"/>
      </w:tblGrid>
      <w:tr w:rsidR="004F762A" w:rsidRPr="00670D6E" w:rsidTr="004F762A">
        <w:trPr>
          <w:cantSplit/>
        </w:trPr>
        <w:tc>
          <w:tcPr>
            <w:tcW w:w="6649" w:type="dxa"/>
            <w:vMerge w:val="restart"/>
          </w:tcPr>
          <w:p w:rsidR="004F762A" w:rsidRPr="006516A2" w:rsidRDefault="004F762A" w:rsidP="008A3582">
            <w:pPr>
              <w:rPr>
                <w:rFonts w:ascii="Verdana" w:hAnsi="Verdana"/>
                <w:sz w:val="20"/>
                <w:szCs w:val="20"/>
              </w:rPr>
            </w:pPr>
            <w:r w:rsidRPr="006516A2">
              <w:rPr>
                <w:rFonts w:ascii="Verdana" w:hAnsi="Verdana"/>
                <w:sz w:val="20"/>
                <w:szCs w:val="20"/>
              </w:rPr>
              <w:t xml:space="preserve">The supplier must provide </w:t>
            </w:r>
            <w:r>
              <w:rPr>
                <w:rFonts w:ascii="Verdana" w:hAnsi="Verdana"/>
                <w:sz w:val="20"/>
                <w:szCs w:val="20"/>
              </w:rPr>
              <w:t>at</w:t>
            </w:r>
            <w:r w:rsidR="00161F4D">
              <w:rPr>
                <w:rFonts w:ascii="Verdana" w:hAnsi="Verdana"/>
                <w:sz w:val="20"/>
                <w:szCs w:val="20"/>
              </w:rPr>
              <w:t xml:space="preserve"> least t</w:t>
            </w:r>
            <w:r w:rsidR="008A3582">
              <w:rPr>
                <w:rFonts w:ascii="Verdana" w:hAnsi="Verdana"/>
                <w:sz w:val="20"/>
                <w:szCs w:val="20"/>
              </w:rPr>
              <w:t>hree</w:t>
            </w:r>
            <w:r w:rsidR="00161F4D">
              <w:rPr>
                <w:rFonts w:ascii="Verdana" w:hAnsi="Verdana"/>
                <w:sz w:val="20"/>
                <w:szCs w:val="20"/>
              </w:rPr>
              <w:t xml:space="preserve"> (3</w:t>
            </w:r>
            <w:r>
              <w:rPr>
                <w:rFonts w:ascii="Verdana" w:hAnsi="Verdana"/>
                <w:sz w:val="20"/>
                <w:szCs w:val="20"/>
              </w:rPr>
              <w:t>) contactable letter</w:t>
            </w:r>
            <w:r w:rsidR="001B52AE">
              <w:rPr>
                <w:rFonts w:ascii="Verdana" w:hAnsi="Verdana"/>
                <w:sz w:val="20"/>
                <w:szCs w:val="20"/>
              </w:rPr>
              <w:t>s</w:t>
            </w:r>
            <w:r>
              <w:rPr>
                <w:rFonts w:ascii="Verdana" w:hAnsi="Verdana"/>
                <w:sz w:val="20"/>
                <w:szCs w:val="20"/>
              </w:rPr>
              <w:t xml:space="preserve"> of recommendation/references</w:t>
            </w:r>
            <w:r w:rsidRPr="006516A2">
              <w:rPr>
                <w:rFonts w:ascii="Verdana" w:hAnsi="Verdana"/>
                <w:sz w:val="20"/>
                <w:szCs w:val="20"/>
              </w:rPr>
              <w:t xml:space="preserve"> from  </w:t>
            </w:r>
            <w:r>
              <w:rPr>
                <w:rFonts w:ascii="Verdana" w:hAnsi="Verdana"/>
                <w:sz w:val="20"/>
                <w:szCs w:val="20"/>
              </w:rPr>
              <w:t xml:space="preserve"> previous </w:t>
            </w:r>
            <w:r w:rsidRPr="006516A2">
              <w:rPr>
                <w:rFonts w:ascii="Verdana" w:hAnsi="Verdana"/>
                <w:sz w:val="20"/>
                <w:szCs w:val="20"/>
              </w:rPr>
              <w:t>clients</w:t>
            </w:r>
            <w:r>
              <w:rPr>
                <w:rFonts w:ascii="Verdana" w:hAnsi="Verdana"/>
                <w:sz w:val="20"/>
                <w:szCs w:val="20"/>
              </w:rPr>
              <w:t xml:space="preserve"> preferable from the CEO of that client</w:t>
            </w:r>
            <w:r w:rsidRPr="006516A2">
              <w:rPr>
                <w:rFonts w:ascii="Verdana" w:hAnsi="Verdana"/>
                <w:sz w:val="20"/>
                <w:szCs w:val="20"/>
              </w:rPr>
              <w:t xml:space="preserve">. </w:t>
            </w:r>
          </w:p>
        </w:tc>
        <w:tc>
          <w:tcPr>
            <w:tcW w:w="1246"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18"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Pr>
        <w:tc>
          <w:tcPr>
            <w:tcW w:w="6649" w:type="dxa"/>
            <w:vMerge/>
          </w:tcPr>
          <w:p w:rsidR="004F762A" w:rsidRDefault="004F762A" w:rsidP="004F762A">
            <w:pPr>
              <w:rPr>
                <w:rFonts w:ascii="Verdana" w:eastAsia="MS Mincho" w:hAnsi="Verdana"/>
                <w:sz w:val="20"/>
                <w:szCs w:val="20"/>
              </w:rPr>
            </w:pPr>
          </w:p>
        </w:tc>
        <w:tc>
          <w:tcPr>
            <w:tcW w:w="1246" w:type="dxa"/>
          </w:tcPr>
          <w:p w:rsidR="004F762A" w:rsidRDefault="004F762A" w:rsidP="004F762A">
            <w:pPr>
              <w:rPr>
                <w:rFonts w:ascii="Verdana" w:hAnsi="Verdana"/>
                <w:sz w:val="20"/>
                <w:szCs w:val="20"/>
              </w:rPr>
            </w:pPr>
          </w:p>
        </w:tc>
        <w:tc>
          <w:tcPr>
            <w:tcW w:w="1418" w:type="dxa"/>
          </w:tcPr>
          <w:p w:rsidR="004F762A" w:rsidRDefault="004F762A" w:rsidP="004F762A">
            <w:pPr>
              <w:rPr>
                <w:rFonts w:ascii="Verdana" w:hAnsi="Verdana"/>
                <w:sz w:val="20"/>
                <w:szCs w:val="20"/>
              </w:rPr>
            </w:pPr>
          </w:p>
        </w:tc>
      </w:tr>
      <w:tr w:rsidR="004F762A" w:rsidTr="004F762A">
        <w:trPr>
          <w:cantSplit/>
        </w:trPr>
        <w:tc>
          <w:tcPr>
            <w:tcW w:w="6649" w:type="dxa"/>
          </w:tcPr>
          <w:p w:rsidR="004F762A" w:rsidRDefault="004F762A" w:rsidP="004F762A">
            <w:pPr>
              <w:rPr>
                <w:rFonts w:ascii="Verdana" w:eastAsia="MS Mincho" w:hAnsi="Verdana"/>
                <w:sz w:val="20"/>
                <w:szCs w:val="20"/>
              </w:rPr>
            </w:pPr>
            <w:r w:rsidRPr="00054FC9">
              <w:rPr>
                <w:rFonts w:ascii="Verdana" w:hAnsi="Verdana"/>
                <w:b/>
                <w:sz w:val="20"/>
                <w:szCs w:val="20"/>
              </w:rPr>
              <w:t>Substantiate</w:t>
            </w:r>
            <w:r>
              <w:rPr>
                <w:rFonts w:ascii="Verdana" w:hAnsi="Verdana"/>
                <w:sz w:val="20"/>
                <w:szCs w:val="20"/>
              </w:rPr>
              <w:t xml:space="preserve">: </w:t>
            </w:r>
            <w:r w:rsidRPr="006516A2">
              <w:rPr>
                <w:rFonts w:ascii="Verdana" w:hAnsi="Verdana"/>
                <w:sz w:val="20"/>
                <w:szCs w:val="20"/>
              </w:rPr>
              <w:t>The reference must be attached to the tender document and must not be older than twelve (12) months from the date of publication of this tender.</w:t>
            </w:r>
            <w:r w:rsidR="00533FAA">
              <w:rPr>
                <w:rFonts w:ascii="Verdana" w:hAnsi="Verdana"/>
                <w:sz w:val="20"/>
                <w:szCs w:val="20"/>
              </w:rPr>
              <w:t>(Failure to comply may lead to disqualification)</w:t>
            </w:r>
          </w:p>
        </w:tc>
        <w:tc>
          <w:tcPr>
            <w:tcW w:w="1246" w:type="dxa"/>
          </w:tcPr>
          <w:p w:rsidR="004F762A" w:rsidRDefault="004F762A" w:rsidP="004F762A">
            <w:pPr>
              <w:rPr>
                <w:rFonts w:ascii="Verdana" w:hAnsi="Verdana"/>
                <w:sz w:val="20"/>
                <w:szCs w:val="20"/>
              </w:rPr>
            </w:pPr>
          </w:p>
        </w:tc>
        <w:tc>
          <w:tcPr>
            <w:tcW w:w="1418"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DB2909" w:rsidRDefault="00DB2909" w:rsidP="004F762A">
      <w:pPr>
        <w:rPr>
          <w:rFonts w:ascii="Verdana" w:hAnsi="Verdana"/>
          <w:sz w:val="20"/>
          <w:szCs w:val="20"/>
        </w:rPr>
      </w:pPr>
    </w:p>
    <w:p w:rsidR="00DB2909" w:rsidRDefault="00DB2909" w:rsidP="004F762A">
      <w:pPr>
        <w:rPr>
          <w:rFonts w:ascii="Verdana" w:hAnsi="Verdana"/>
          <w:sz w:val="20"/>
          <w:szCs w:val="20"/>
        </w:rPr>
      </w:pPr>
    </w:p>
    <w:p w:rsidR="00161F4D" w:rsidRDefault="00161F4D" w:rsidP="004F762A">
      <w:pPr>
        <w:rPr>
          <w:rFonts w:ascii="Verdana" w:hAnsi="Verdana"/>
          <w:sz w:val="20"/>
          <w:szCs w:val="20"/>
        </w:rPr>
      </w:pPr>
    </w:p>
    <w:p w:rsidR="00161F4D" w:rsidRDefault="00161F4D" w:rsidP="004F762A">
      <w:pPr>
        <w:rPr>
          <w:rFonts w:ascii="Verdana" w:hAnsi="Verdana"/>
          <w:sz w:val="20"/>
          <w:szCs w:val="20"/>
        </w:rPr>
      </w:pPr>
    </w:p>
    <w:p w:rsidR="00161F4D" w:rsidRPr="00670D6E" w:rsidRDefault="008A3582" w:rsidP="00161F4D">
      <w:pPr>
        <w:pStyle w:val="Heading2"/>
        <w:numPr>
          <w:ilvl w:val="0"/>
          <w:numId w:val="0"/>
        </w:numPr>
        <w:ind w:left="595" w:hanging="55"/>
      </w:pPr>
      <w:r>
        <w:t>1</w:t>
      </w:r>
      <w:r w:rsidR="00161F4D">
        <w:t xml:space="preserve">.2 </w:t>
      </w:r>
      <w:r w:rsidR="00161F4D" w:rsidRPr="00670D6E">
        <w:t>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161F4D" w:rsidRPr="00670D6E" w:rsidTr="00161F4D">
        <w:trPr>
          <w:cantSplit/>
        </w:trPr>
        <w:tc>
          <w:tcPr>
            <w:tcW w:w="6649" w:type="dxa"/>
            <w:vMerge w:val="restart"/>
          </w:tcPr>
          <w:p w:rsidR="00161F4D" w:rsidRPr="006516A2" w:rsidRDefault="00161F4D" w:rsidP="001B52AE">
            <w:pPr>
              <w:rPr>
                <w:rFonts w:ascii="Verdana" w:hAnsi="Verdana"/>
                <w:sz w:val="20"/>
                <w:szCs w:val="20"/>
              </w:rPr>
            </w:pPr>
            <w:r w:rsidRPr="006516A2">
              <w:rPr>
                <w:rFonts w:ascii="Verdana" w:hAnsi="Verdana"/>
                <w:sz w:val="20"/>
                <w:szCs w:val="20"/>
              </w:rPr>
              <w:t>The supplier must</w:t>
            </w:r>
            <w:r>
              <w:rPr>
                <w:rFonts w:ascii="Verdana" w:hAnsi="Verdana"/>
                <w:sz w:val="20"/>
                <w:szCs w:val="20"/>
              </w:rPr>
              <w:t xml:space="preserve"> have a</w:t>
            </w:r>
            <w:r w:rsidR="00096AC9">
              <w:rPr>
                <w:rFonts w:ascii="Verdana" w:hAnsi="Verdana" w:cs="Arial"/>
                <w:sz w:val="20"/>
                <w:szCs w:val="20"/>
              </w:rPr>
              <w:t>t least 3</w:t>
            </w:r>
            <w:r w:rsidRPr="00EC0438">
              <w:rPr>
                <w:rFonts w:ascii="Verdana" w:hAnsi="Verdana" w:cs="Arial"/>
                <w:sz w:val="20"/>
                <w:szCs w:val="20"/>
              </w:rPr>
              <w:t xml:space="preserve"> years Related Company Experience </w:t>
            </w:r>
          </w:p>
        </w:tc>
        <w:tc>
          <w:tcPr>
            <w:tcW w:w="1246" w:type="dxa"/>
          </w:tcPr>
          <w:p w:rsidR="00161F4D" w:rsidRPr="00670D6E" w:rsidRDefault="00161F4D" w:rsidP="00161F4D">
            <w:pPr>
              <w:rPr>
                <w:rFonts w:ascii="Verdana" w:hAnsi="Verdana"/>
                <w:sz w:val="20"/>
                <w:szCs w:val="20"/>
              </w:rPr>
            </w:pPr>
            <w:r w:rsidRPr="00670D6E">
              <w:rPr>
                <w:rFonts w:ascii="Verdana" w:hAnsi="Verdana"/>
                <w:sz w:val="20"/>
                <w:szCs w:val="20"/>
              </w:rPr>
              <w:t>Comply</w:t>
            </w:r>
          </w:p>
        </w:tc>
        <w:tc>
          <w:tcPr>
            <w:tcW w:w="1418" w:type="dxa"/>
          </w:tcPr>
          <w:p w:rsidR="00161F4D" w:rsidRPr="00670D6E" w:rsidRDefault="00161F4D" w:rsidP="00161F4D">
            <w:pPr>
              <w:rPr>
                <w:rFonts w:ascii="Verdana" w:hAnsi="Verdana"/>
                <w:sz w:val="20"/>
                <w:szCs w:val="20"/>
              </w:rPr>
            </w:pPr>
            <w:r w:rsidRPr="00670D6E">
              <w:rPr>
                <w:rFonts w:ascii="Verdana" w:hAnsi="Verdana"/>
                <w:sz w:val="20"/>
                <w:szCs w:val="20"/>
              </w:rPr>
              <w:t>Not Comply</w:t>
            </w:r>
          </w:p>
        </w:tc>
      </w:tr>
      <w:tr w:rsidR="00161F4D" w:rsidTr="00161F4D">
        <w:trPr>
          <w:cantSplit/>
        </w:trPr>
        <w:tc>
          <w:tcPr>
            <w:tcW w:w="6649" w:type="dxa"/>
            <w:vMerge/>
          </w:tcPr>
          <w:p w:rsidR="00161F4D" w:rsidRDefault="00161F4D" w:rsidP="00161F4D">
            <w:pPr>
              <w:rPr>
                <w:rFonts w:ascii="Verdana" w:eastAsia="MS Mincho" w:hAnsi="Verdana"/>
                <w:sz w:val="20"/>
                <w:szCs w:val="20"/>
              </w:rPr>
            </w:pPr>
          </w:p>
        </w:tc>
        <w:tc>
          <w:tcPr>
            <w:tcW w:w="1246" w:type="dxa"/>
          </w:tcPr>
          <w:p w:rsidR="00161F4D" w:rsidRDefault="00161F4D" w:rsidP="00161F4D">
            <w:pPr>
              <w:rPr>
                <w:rFonts w:ascii="Verdana" w:hAnsi="Verdana"/>
                <w:sz w:val="20"/>
                <w:szCs w:val="20"/>
              </w:rPr>
            </w:pPr>
          </w:p>
        </w:tc>
        <w:tc>
          <w:tcPr>
            <w:tcW w:w="1418" w:type="dxa"/>
          </w:tcPr>
          <w:p w:rsidR="00161F4D" w:rsidRDefault="00161F4D" w:rsidP="00161F4D">
            <w:pPr>
              <w:rPr>
                <w:rFonts w:ascii="Verdana" w:hAnsi="Verdana"/>
                <w:sz w:val="20"/>
                <w:szCs w:val="20"/>
              </w:rPr>
            </w:pPr>
          </w:p>
        </w:tc>
      </w:tr>
      <w:tr w:rsidR="00161F4D" w:rsidTr="00161F4D">
        <w:trPr>
          <w:cantSplit/>
        </w:trPr>
        <w:tc>
          <w:tcPr>
            <w:tcW w:w="6649" w:type="dxa"/>
          </w:tcPr>
          <w:p w:rsidR="00161F4D" w:rsidRDefault="00161F4D" w:rsidP="00161F4D">
            <w:pPr>
              <w:rPr>
                <w:rFonts w:ascii="Verdana"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cs="Arial"/>
                <w:sz w:val="20"/>
                <w:szCs w:val="20"/>
              </w:rPr>
              <w:t>(provide signed letters / certificates)</w:t>
            </w:r>
            <w:r w:rsidR="00533FAA">
              <w:rPr>
                <w:rFonts w:ascii="Verdana" w:hAnsi="Verdana" w:cs="Arial"/>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p w:rsidR="00161F4D" w:rsidRDefault="00161F4D" w:rsidP="00161F4D">
            <w:pPr>
              <w:rPr>
                <w:rFonts w:ascii="Verdana" w:eastAsia="MS Mincho" w:hAnsi="Verdana"/>
                <w:sz w:val="20"/>
                <w:szCs w:val="20"/>
              </w:rPr>
            </w:pPr>
          </w:p>
        </w:tc>
        <w:tc>
          <w:tcPr>
            <w:tcW w:w="1246" w:type="dxa"/>
          </w:tcPr>
          <w:p w:rsidR="00161F4D" w:rsidRDefault="00161F4D" w:rsidP="00161F4D">
            <w:pPr>
              <w:rPr>
                <w:rFonts w:ascii="Verdana" w:hAnsi="Verdana"/>
                <w:sz w:val="20"/>
                <w:szCs w:val="20"/>
              </w:rPr>
            </w:pPr>
          </w:p>
        </w:tc>
        <w:tc>
          <w:tcPr>
            <w:tcW w:w="1418" w:type="dxa"/>
          </w:tcPr>
          <w:p w:rsidR="00161F4D" w:rsidRDefault="00161F4D" w:rsidP="00161F4D">
            <w:pPr>
              <w:rPr>
                <w:rFonts w:ascii="Verdana" w:hAnsi="Verdana"/>
                <w:sz w:val="20"/>
                <w:szCs w:val="20"/>
              </w:rPr>
            </w:pPr>
          </w:p>
        </w:tc>
      </w:tr>
    </w:tbl>
    <w:p w:rsidR="00161F4D" w:rsidRDefault="00161F4D" w:rsidP="00161F4D">
      <w:pPr>
        <w:rPr>
          <w:rFonts w:ascii="Verdana" w:hAnsi="Verdana"/>
          <w:sz w:val="20"/>
          <w:szCs w:val="20"/>
        </w:rPr>
      </w:pPr>
    </w:p>
    <w:p w:rsidR="00096AC9" w:rsidRPr="00670D6E" w:rsidRDefault="008A3582" w:rsidP="00096AC9">
      <w:pPr>
        <w:pStyle w:val="Heading2"/>
        <w:numPr>
          <w:ilvl w:val="0"/>
          <w:numId w:val="0"/>
        </w:numPr>
        <w:ind w:left="595" w:hanging="55"/>
      </w:pPr>
      <w:r>
        <w:t>1</w:t>
      </w:r>
      <w:r w:rsidR="00096AC9">
        <w:t>.3 MAN</w:t>
      </w:r>
      <w:r w:rsidR="00096AC9" w:rsidRPr="00670D6E">
        <w:t>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096AC9" w:rsidRPr="00670D6E" w:rsidTr="00054AB9">
        <w:trPr>
          <w:cantSplit/>
        </w:trPr>
        <w:tc>
          <w:tcPr>
            <w:tcW w:w="6649" w:type="dxa"/>
            <w:vMerge w:val="restart"/>
          </w:tcPr>
          <w:p w:rsidR="00096AC9" w:rsidRPr="006516A2" w:rsidRDefault="00096AC9" w:rsidP="00096AC9">
            <w:pPr>
              <w:rPr>
                <w:rFonts w:ascii="Verdana" w:hAnsi="Verdana"/>
                <w:sz w:val="20"/>
                <w:szCs w:val="20"/>
              </w:rPr>
            </w:pPr>
            <w:r w:rsidRPr="00EC0438">
              <w:rPr>
                <w:rFonts w:ascii="Verdana" w:hAnsi="Verdana"/>
                <w:sz w:val="20"/>
                <w:szCs w:val="20"/>
              </w:rPr>
              <w:t xml:space="preserve">Specify number of Company Vehicles for transporting of Guards assigned to this tender </w:t>
            </w:r>
          </w:p>
        </w:tc>
        <w:tc>
          <w:tcPr>
            <w:tcW w:w="1246" w:type="dxa"/>
          </w:tcPr>
          <w:p w:rsidR="00096AC9" w:rsidRPr="00670D6E" w:rsidRDefault="00096AC9" w:rsidP="00054AB9">
            <w:pPr>
              <w:rPr>
                <w:rFonts w:ascii="Verdana" w:hAnsi="Verdana"/>
                <w:sz w:val="20"/>
                <w:szCs w:val="20"/>
              </w:rPr>
            </w:pPr>
            <w:r w:rsidRPr="00670D6E">
              <w:rPr>
                <w:rFonts w:ascii="Verdana" w:hAnsi="Verdana"/>
                <w:sz w:val="20"/>
                <w:szCs w:val="20"/>
              </w:rPr>
              <w:t>Comply</w:t>
            </w:r>
          </w:p>
        </w:tc>
        <w:tc>
          <w:tcPr>
            <w:tcW w:w="1418" w:type="dxa"/>
          </w:tcPr>
          <w:p w:rsidR="00096AC9" w:rsidRPr="00670D6E" w:rsidRDefault="00096AC9" w:rsidP="00054AB9">
            <w:pPr>
              <w:rPr>
                <w:rFonts w:ascii="Verdana" w:hAnsi="Verdana"/>
                <w:sz w:val="20"/>
                <w:szCs w:val="20"/>
              </w:rPr>
            </w:pPr>
            <w:r w:rsidRPr="00670D6E">
              <w:rPr>
                <w:rFonts w:ascii="Verdana" w:hAnsi="Verdana"/>
                <w:sz w:val="20"/>
                <w:szCs w:val="20"/>
              </w:rPr>
              <w:t>Not Comply</w:t>
            </w:r>
          </w:p>
        </w:tc>
      </w:tr>
      <w:tr w:rsidR="00096AC9" w:rsidTr="00054AB9">
        <w:trPr>
          <w:cantSplit/>
        </w:trPr>
        <w:tc>
          <w:tcPr>
            <w:tcW w:w="6649" w:type="dxa"/>
            <w:vMerge/>
          </w:tcPr>
          <w:p w:rsidR="00096AC9" w:rsidRDefault="00096AC9" w:rsidP="00054AB9">
            <w:pPr>
              <w:rPr>
                <w:rFonts w:ascii="Verdana" w:eastAsia="MS Mincho" w:hAnsi="Verdana"/>
                <w:sz w:val="20"/>
                <w:szCs w:val="20"/>
              </w:rPr>
            </w:pPr>
          </w:p>
        </w:tc>
        <w:tc>
          <w:tcPr>
            <w:tcW w:w="1246" w:type="dxa"/>
          </w:tcPr>
          <w:p w:rsidR="00096AC9" w:rsidRDefault="00096AC9" w:rsidP="00054AB9">
            <w:pPr>
              <w:rPr>
                <w:rFonts w:ascii="Verdana" w:hAnsi="Verdana"/>
                <w:sz w:val="20"/>
                <w:szCs w:val="20"/>
              </w:rPr>
            </w:pPr>
          </w:p>
        </w:tc>
        <w:tc>
          <w:tcPr>
            <w:tcW w:w="1418" w:type="dxa"/>
          </w:tcPr>
          <w:p w:rsidR="00096AC9" w:rsidRDefault="00096AC9" w:rsidP="00054AB9">
            <w:pPr>
              <w:rPr>
                <w:rFonts w:ascii="Verdana" w:hAnsi="Verdana"/>
                <w:sz w:val="20"/>
                <w:szCs w:val="20"/>
              </w:rPr>
            </w:pPr>
          </w:p>
        </w:tc>
      </w:tr>
      <w:tr w:rsidR="00096AC9" w:rsidTr="00054AB9">
        <w:trPr>
          <w:cantSplit/>
        </w:trPr>
        <w:tc>
          <w:tcPr>
            <w:tcW w:w="6649" w:type="dxa"/>
          </w:tcPr>
          <w:p w:rsidR="00096AC9" w:rsidRDefault="00096AC9" w:rsidP="00096AC9">
            <w:pPr>
              <w:rPr>
                <w:rFonts w:ascii="Verdana"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sz w:val="20"/>
                <w:szCs w:val="20"/>
              </w:rPr>
              <w:t>(provide copies of vehicle registration certificates)</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p w:rsidR="00096AC9" w:rsidRDefault="00096AC9" w:rsidP="00054AB9">
            <w:pPr>
              <w:rPr>
                <w:rFonts w:ascii="Verdana" w:eastAsia="MS Mincho" w:hAnsi="Verdana"/>
                <w:sz w:val="20"/>
                <w:szCs w:val="20"/>
              </w:rPr>
            </w:pPr>
          </w:p>
        </w:tc>
        <w:tc>
          <w:tcPr>
            <w:tcW w:w="1246" w:type="dxa"/>
          </w:tcPr>
          <w:p w:rsidR="00096AC9" w:rsidRDefault="00096AC9" w:rsidP="00054AB9">
            <w:pPr>
              <w:rPr>
                <w:rFonts w:ascii="Verdana" w:hAnsi="Verdana"/>
                <w:sz w:val="20"/>
                <w:szCs w:val="20"/>
              </w:rPr>
            </w:pPr>
          </w:p>
        </w:tc>
        <w:tc>
          <w:tcPr>
            <w:tcW w:w="1418" w:type="dxa"/>
          </w:tcPr>
          <w:p w:rsidR="00096AC9" w:rsidRDefault="00096AC9" w:rsidP="00054AB9">
            <w:pPr>
              <w:rPr>
                <w:rFonts w:ascii="Verdana" w:hAnsi="Verdana"/>
                <w:sz w:val="20"/>
                <w:szCs w:val="20"/>
              </w:rPr>
            </w:pPr>
          </w:p>
        </w:tc>
      </w:tr>
    </w:tbl>
    <w:p w:rsidR="00161F4D" w:rsidRDefault="00161F4D" w:rsidP="004F762A">
      <w:pPr>
        <w:rPr>
          <w:rFonts w:ascii="Verdana" w:hAnsi="Verdana"/>
          <w:sz w:val="20"/>
          <w:szCs w:val="20"/>
        </w:rPr>
      </w:pPr>
    </w:p>
    <w:p w:rsidR="00096AC9" w:rsidRPr="00670D6E" w:rsidRDefault="008A3582" w:rsidP="00096AC9">
      <w:pPr>
        <w:pStyle w:val="Heading2"/>
        <w:numPr>
          <w:ilvl w:val="0"/>
          <w:numId w:val="0"/>
        </w:numPr>
        <w:ind w:left="595" w:hanging="55"/>
      </w:pPr>
      <w:r>
        <w:t>1</w:t>
      </w:r>
      <w:r w:rsidR="00096AC9">
        <w:t>.4 MAN</w:t>
      </w:r>
      <w:r w:rsidR="00096AC9" w:rsidRPr="00670D6E">
        <w:t>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096AC9" w:rsidRPr="00670D6E" w:rsidTr="00054AB9">
        <w:trPr>
          <w:cantSplit/>
        </w:trPr>
        <w:tc>
          <w:tcPr>
            <w:tcW w:w="6649" w:type="dxa"/>
            <w:vMerge w:val="restart"/>
          </w:tcPr>
          <w:p w:rsidR="00096AC9" w:rsidRPr="006516A2" w:rsidRDefault="00096AC9" w:rsidP="001B52AE">
            <w:pPr>
              <w:rPr>
                <w:rFonts w:ascii="Verdana" w:hAnsi="Verdana"/>
                <w:sz w:val="20"/>
                <w:szCs w:val="20"/>
              </w:rPr>
            </w:pPr>
            <w:r w:rsidRPr="00054FC9">
              <w:rPr>
                <w:rFonts w:ascii="Verdana" w:hAnsi="Verdana"/>
                <w:b/>
                <w:sz w:val="20"/>
                <w:szCs w:val="20"/>
              </w:rPr>
              <w:t>Substantiate</w:t>
            </w:r>
            <w:r>
              <w:rPr>
                <w:rFonts w:ascii="Verdana" w:hAnsi="Verdana"/>
                <w:sz w:val="20"/>
                <w:szCs w:val="20"/>
              </w:rPr>
              <w:t>: Location details</w:t>
            </w:r>
          </w:p>
        </w:tc>
        <w:tc>
          <w:tcPr>
            <w:tcW w:w="1246" w:type="dxa"/>
          </w:tcPr>
          <w:p w:rsidR="00096AC9" w:rsidRPr="00670D6E" w:rsidRDefault="00096AC9" w:rsidP="00054AB9">
            <w:pPr>
              <w:rPr>
                <w:rFonts w:ascii="Verdana" w:hAnsi="Verdana"/>
                <w:sz w:val="20"/>
                <w:szCs w:val="20"/>
              </w:rPr>
            </w:pPr>
            <w:r w:rsidRPr="00670D6E">
              <w:rPr>
                <w:rFonts w:ascii="Verdana" w:hAnsi="Verdana"/>
                <w:sz w:val="20"/>
                <w:szCs w:val="20"/>
              </w:rPr>
              <w:t>Comply</w:t>
            </w:r>
          </w:p>
        </w:tc>
        <w:tc>
          <w:tcPr>
            <w:tcW w:w="1418" w:type="dxa"/>
          </w:tcPr>
          <w:p w:rsidR="00096AC9" w:rsidRPr="00670D6E" w:rsidRDefault="00096AC9" w:rsidP="00054AB9">
            <w:pPr>
              <w:rPr>
                <w:rFonts w:ascii="Verdana" w:hAnsi="Verdana"/>
                <w:sz w:val="20"/>
                <w:szCs w:val="20"/>
              </w:rPr>
            </w:pPr>
            <w:r w:rsidRPr="00670D6E">
              <w:rPr>
                <w:rFonts w:ascii="Verdana" w:hAnsi="Verdana"/>
                <w:sz w:val="20"/>
                <w:szCs w:val="20"/>
              </w:rPr>
              <w:t>Not Comply</w:t>
            </w:r>
          </w:p>
        </w:tc>
      </w:tr>
      <w:tr w:rsidR="00096AC9" w:rsidTr="00054AB9">
        <w:trPr>
          <w:cantSplit/>
        </w:trPr>
        <w:tc>
          <w:tcPr>
            <w:tcW w:w="6649" w:type="dxa"/>
            <w:vMerge/>
          </w:tcPr>
          <w:p w:rsidR="00096AC9" w:rsidRDefault="00096AC9" w:rsidP="00054AB9">
            <w:pPr>
              <w:rPr>
                <w:rFonts w:ascii="Verdana" w:eastAsia="MS Mincho" w:hAnsi="Verdana"/>
                <w:sz w:val="20"/>
                <w:szCs w:val="20"/>
              </w:rPr>
            </w:pPr>
          </w:p>
        </w:tc>
        <w:tc>
          <w:tcPr>
            <w:tcW w:w="1246" w:type="dxa"/>
          </w:tcPr>
          <w:p w:rsidR="00096AC9" w:rsidRDefault="00096AC9" w:rsidP="00054AB9">
            <w:pPr>
              <w:rPr>
                <w:rFonts w:ascii="Verdana" w:hAnsi="Verdana"/>
                <w:sz w:val="20"/>
                <w:szCs w:val="20"/>
              </w:rPr>
            </w:pPr>
          </w:p>
        </w:tc>
        <w:tc>
          <w:tcPr>
            <w:tcW w:w="1418" w:type="dxa"/>
          </w:tcPr>
          <w:p w:rsidR="00096AC9" w:rsidRDefault="00096AC9" w:rsidP="00054AB9">
            <w:pPr>
              <w:rPr>
                <w:rFonts w:ascii="Verdana" w:hAnsi="Verdana"/>
                <w:sz w:val="20"/>
                <w:szCs w:val="20"/>
              </w:rPr>
            </w:pPr>
          </w:p>
        </w:tc>
      </w:tr>
      <w:tr w:rsidR="00096AC9" w:rsidTr="00054AB9">
        <w:trPr>
          <w:cantSplit/>
        </w:trPr>
        <w:tc>
          <w:tcPr>
            <w:tcW w:w="6649" w:type="dxa"/>
          </w:tcPr>
          <w:p w:rsidR="00096AC9" w:rsidRDefault="00096AC9" w:rsidP="00054AB9">
            <w:pPr>
              <w:rPr>
                <w:rFonts w:ascii="Verdana" w:eastAsia="MS Mincho"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sz w:val="20"/>
                <w:szCs w:val="20"/>
              </w:rPr>
              <w:t>provide proof of residence of offices in Area where tendering on</w:t>
            </w:r>
            <w:r w:rsidR="001B52AE">
              <w:rPr>
                <w:rFonts w:ascii="Verdana" w:hAnsi="Verdana"/>
                <w:sz w:val="20"/>
                <w:szCs w:val="20"/>
              </w:rPr>
              <w:t xml:space="preserve"> must be supplied. (either a copy of a lease agreement or a utilities bill)</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tc>
        <w:tc>
          <w:tcPr>
            <w:tcW w:w="1246" w:type="dxa"/>
          </w:tcPr>
          <w:p w:rsidR="00096AC9" w:rsidRDefault="00096AC9" w:rsidP="00054AB9">
            <w:pPr>
              <w:rPr>
                <w:rFonts w:ascii="Verdana" w:hAnsi="Verdana"/>
                <w:sz w:val="20"/>
                <w:szCs w:val="20"/>
              </w:rPr>
            </w:pPr>
          </w:p>
        </w:tc>
        <w:tc>
          <w:tcPr>
            <w:tcW w:w="1418" w:type="dxa"/>
          </w:tcPr>
          <w:p w:rsidR="00096AC9" w:rsidRDefault="00096AC9" w:rsidP="00054AB9">
            <w:pPr>
              <w:rPr>
                <w:rFonts w:ascii="Verdana" w:hAnsi="Verdana"/>
                <w:sz w:val="20"/>
                <w:szCs w:val="20"/>
              </w:rPr>
            </w:pPr>
          </w:p>
        </w:tc>
      </w:tr>
    </w:tbl>
    <w:p w:rsidR="00096AC9" w:rsidRDefault="00096AC9" w:rsidP="00096AC9">
      <w:pPr>
        <w:rPr>
          <w:rFonts w:ascii="Verdana" w:hAnsi="Verdana"/>
          <w:sz w:val="20"/>
          <w:szCs w:val="20"/>
        </w:rPr>
      </w:pPr>
    </w:p>
    <w:p w:rsidR="00096AC9" w:rsidRDefault="00096AC9" w:rsidP="004F762A">
      <w:pPr>
        <w:rPr>
          <w:rFonts w:ascii="Verdana" w:hAnsi="Verdana"/>
          <w:sz w:val="20"/>
          <w:szCs w:val="20"/>
        </w:rPr>
      </w:pPr>
    </w:p>
    <w:p w:rsidR="004F762A" w:rsidRDefault="004F762A" w:rsidP="004F762A">
      <w:pPr>
        <w:pStyle w:val="NewHeading1"/>
        <w:ind w:firstLine="0"/>
        <w:rPr>
          <w:rFonts w:ascii="Arial" w:hAnsi="Arial"/>
          <w:b/>
          <w:snapToGrid w:val="0"/>
          <w:sz w:val="22"/>
          <w:lang w:val="en-GB"/>
        </w:rPr>
      </w:pPr>
      <w:r w:rsidRPr="008E1F8F">
        <w:rPr>
          <w:rFonts w:ascii="Arial" w:hAnsi="Arial"/>
          <w:b/>
          <w:snapToGrid w:val="0"/>
          <w:sz w:val="22"/>
          <w:lang w:val="en-GB"/>
        </w:rPr>
        <w:t>Letters of good standing</w:t>
      </w:r>
      <w:r>
        <w:rPr>
          <w:rFonts w:ascii="Arial" w:hAnsi="Arial"/>
          <w:b/>
          <w:snapToGrid w:val="0"/>
          <w:sz w:val="22"/>
          <w:lang w:val="en-GB"/>
        </w:rPr>
        <w:t xml:space="preserve"> </w:t>
      </w:r>
    </w:p>
    <w:p w:rsidR="004F762A" w:rsidRDefault="004F762A" w:rsidP="004F762A">
      <w:pPr>
        <w:rPr>
          <w:rFonts w:ascii="Verdana" w:hAnsi="Verdana"/>
          <w:sz w:val="20"/>
          <w:szCs w:val="20"/>
        </w:rPr>
      </w:pPr>
    </w:p>
    <w:p w:rsidR="004F762A" w:rsidRPr="00670D6E" w:rsidRDefault="004F762A" w:rsidP="004F762A">
      <w:pPr>
        <w:pStyle w:val="Heading2"/>
        <w:numPr>
          <w:ilvl w:val="0"/>
          <w:numId w:val="0"/>
        </w:numPr>
        <w:ind w:left="595" w:hanging="55"/>
      </w:pPr>
      <w:bookmarkStart w:id="44" w:name="_Toc246820427"/>
      <w:bookmarkStart w:id="45" w:name="_Toc347471332"/>
      <w:r>
        <w:t>2.</w:t>
      </w:r>
      <w:r w:rsidR="008A3582">
        <w:t>1</w:t>
      </w:r>
      <w:r>
        <w:t xml:space="preserve">      </w:t>
      </w:r>
      <w:r w:rsidRPr="00670D6E">
        <w:t>MANDATORY</w:t>
      </w:r>
      <w:bookmarkEnd w:id="44"/>
      <w:bookmarkEnd w:id="4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7"/>
        <w:gridCol w:w="1230"/>
        <w:gridCol w:w="1392"/>
      </w:tblGrid>
      <w:tr w:rsidR="004F762A" w:rsidRPr="00670D6E" w:rsidTr="004F762A">
        <w:trPr>
          <w:cantSplit/>
        </w:trPr>
        <w:tc>
          <w:tcPr>
            <w:tcW w:w="6641" w:type="dxa"/>
            <w:vMerge w:val="restart"/>
          </w:tcPr>
          <w:p w:rsidR="004F762A" w:rsidRPr="00670D6E" w:rsidRDefault="004F762A" w:rsidP="004F762A">
            <w:pPr>
              <w:rPr>
                <w:rFonts w:ascii="Verdana" w:hAnsi="Verdana"/>
                <w:sz w:val="20"/>
                <w:szCs w:val="20"/>
              </w:rPr>
            </w:pPr>
            <w:r w:rsidRPr="00670D6E">
              <w:rPr>
                <w:rFonts w:ascii="Verdana" w:hAnsi="Verdana"/>
                <w:sz w:val="20"/>
                <w:szCs w:val="20"/>
              </w:rPr>
              <w:t xml:space="preserve">The </w:t>
            </w:r>
            <w:r w:rsidRPr="002431B4">
              <w:rPr>
                <w:rFonts w:ascii="Verdana" w:hAnsi="Verdana"/>
                <w:sz w:val="20"/>
                <w:szCs w:val="20"/>
              </w:rPr>
              <w:t xml:space="preserve">supplier must provide a letter of good standing from PSIRA. The company should be registered with PSIRA in good standing for a minimum period of three (3) years and have a proven track record in R.S.A in providing security services. </w:t>
            </w:r>
          </w:p>
        </w:tc>
        <w:tc>
          <w:tcPr>
            <w:tcW w:w="1249"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r w:rsidR="004F762A" w:rsidTr="004F762A">
        <w:trPr>
          <w:cantSplit/>
        </w:trPr>
        <w:tc>
          <w:tcPr>
            <w:tcW w:w="6641" w:type="dxa"/>
          </w:tcPr>
          <w:p w:rsidR="004F762A" w:rsidRPr="00533FAA" w:rsidRDefault="004F762A" w:rsidP="004F762A">
            <w:pPr>
              <w:rPr>
                <w:rFonts w:ascii="Verdana" w:eastAsia="MS Mincho" w:hAnsi="Verdana"/>
                <w:sz w:val="20"/>
                <w:szCs w:val="20"/>
              </w:rPr>
            </w:pPr>
            <w:r w:rsidRPr="00110A68">
              <w:rPr>
                <w:rFonts w:ascii="Verdana" w:hAnsi="Verdana"/>
                <w:b/>
                <w:sz w:val="20"/>
                <w:szCs w:val="20"/>
              </w:rPr>
              <w:t>Substantiate</w:t>
            </w:r>
            <w:r>
              <w:rPr>
                <w:rFonts w:ascii="Verdana" w:hAnsi="Verdana"/>
                <w:b/>
                <w:sz w:val="20"/>
                <w:szCs w:val="20"/>
              </w:rPr>
              <w:t>:</w:t>
            </w:r>
            <w:r w:rsidRPr="002431B4">
              <w:rPr>
                <w:rFonts w:ascii="Verdana" w:hAnsi="Verdana"/>
                <w:sz w:val="20"/>
                <w:szCs w:val="20"/>
              </w:rPr>
              <w:t xml:space="preserve"> The valid PSIRA registration certificate must be attached to the tender document</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4F762A">
      <w:pPr>
        <w:ind w:firstLine="360"/>
        <w:jc w:val="both"/>
        <w:rPr>
          <w:rFonts w:ascii="Verdana" w:hAnsi="Verdana" w:cs="Arial"/>
          <w:bCs/>
          <w:sz w:val="20"/>
          <w:szCs w:val="20"/>
        </w:rPr>
      </w:pPr>
    </w:p>
    <w:p w:rsidR="004F762A" w:rsidRPr="00670D6E" w:rsidRDefault="004F762A" w:rsidP="004F762A">
      <w:pPr>
        <w:pStyle w:val="Heading2"/>
        <w:numPr>
          <w:ilvl w:val="0"/>
          <w:numId w:val="0"/>
        </w:numPr>
        <w:ind w:left="595" w:firstLine="35"/>
      </w:pPr>
      <w:bookmarkStart w:id="46" w:name="_Toc347471333"/>
      <w:r>
        <w:t>2.</w:t>
      </w:r>
      <w:r w:rsidR="008A3582">
        <w:t>2</w:t>
      </w:r>
      <w:r>
        <w:t xml:space="preserve">    </w:t>
      </w:r>
      <w:r w:rsidRPr="00670D6E">
        <w:t>MANDATORY</w:t>
      </w:r>
      <w:bookmarkEnd w:id="4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8"/>
        <w:gridCol w:w="1230"/>
        <w:gridCol w:w="1391"/>
      </w:tblGrid>
      <w:tr w:rsidR="004F762A" w:rsidTr="004F762A">
        <w:trPr>
          <w:cantSplit/>
        </w:trPr>
        <w:tc>
          <w:tcPr>
            <w:tcW w:w="6642" w:type="dxa"/>
            <w:vMerge w:val="restart"/>
          </w:tcPr>
          <w:p w:rsidR="004F762A" w:rsidRPr="009A39E4" w:rsidRDefault="004F762A" w:rsidP="004F762A">
            <w:pPr>
              <w:jc w:val="both"/>
              <w:rPr>
                <w:rFonts w:ascii="Verdana" w:hAnsi="Verdana"/>
                <w:sz w:val="20"/>
                <w:szCs w:val="20"/>
              </w:rPr>
            </w:pPr>
            <w:r w:rsidRPr="009A39E4">
              <w:rPr>
                <w:rFonts w:ascii="Verdana" w:hAnsi="Verdana"/>
                <w:sz w:val="20"/>
                <w:szCs w:val="20"/>
              </w:rPr>
              <w:t>The supplier must provide a valid letter of good standing from the Department of Labour</w:t>
            </w:r>
            <w:r w:rsidR="008A3582">
              <w:rPr>
                <w:rFonts w:ascii="Verdana" w:hAnsi="Verdana"/>
                <w:sz w:val="20"/>
                <w:szCs w:val="20"/>
              </w:rPr>
              <w:t xml:space="preserve"> for UIF Contribu</w:t>
            </w:r>
            <w:r w:rsidR="001B52AE">
              <w:rPr>
                <w:rFonts w:ascii="Verdana" w:hAnsi="Verdana"/>
                <w:sz w:val="20"/>
                <w:szCs w:val="20"/>
              </w:rPr>
              <w:t>t</w:t>
            </w:r>
            <w:r w:rsidR="008A3582">
              <w:rPr>
                <w:rFonts w:ascii="Verdana" w:hAnsi="Verdana"/>
                <w:sz w:val="20"/>
                <w:szCs w:val="20"/>
              </w:rPr>
              <w:t>ion,</w:t>
            </w:r>
            <w:r w:rsidRPr="009A39E4">
              <w:rPr>
                <w:rFonts w:ascii="Verdana" w:hAnsi="Verdana"/>
                <w:sz w:val="20"/>
                <w:szCs w:val="20"/>
              </w:rPr>
              <w:t xml:space="preserve"> confirming that their payments for UIF contributions for the employees currently in their employ are up to date.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r w:rsidR="004F762A" w:rsidTr="004F762A">
        <w:trPr>
          <w:cantSplit/>
        </w:trPr>
        <w:tc>
          <w:tcPr>
            <w:tcW w:w="6642" w:type="dxa"/>
          </w:tcPr>
          <w:p w:rsidR="004F762A" w:rsidRDefault="004F762A" w:rsidP="001B52AE">
            <w:pPr>
              <w:rPr>
                <w:rFonts w:ascii="Verdana" w:eastAsia="MS Mincho" w:hAnsi="Verdana"/>
                <w:sz w:val="20"/>
                <w:szCs w:val="20"/>
              </w:rPr>
            </w:pPr>
            <w:r w:rsidRPr="00FB2D39">
              <w:rPr>
                <w:rFonts w:ascii="Verdana" w:hAnsi="Verdana"/>
                <w:b/>
                <w:sz w:val="20"/>
                <w:szCs w:val="20"/>
              </w:rPr>
              <w:t>Substantiate:</w:t>
            </w:r>
            <w:r w:rsidRPr="009A39E4">
              <w:rPr>
                <w:rFonts w:ascii="Verdana" w:hAnsi="Verdana"/>
                <w:sz w:val="20"/>
                <w:szCs w:val="20"/>
              </w:rPr>
              <w:t xml:space="preserve"> </w:t>
            </w:r>
            <w:r w:rsidR="001B52AE">
              <w:rPr>
                <w:rFonts w:ascii="Verdana" w:hAnsi="Verdana"/>
                <w:sz w:val="20"/>
                <w:szCs w:val="20"/>
              </w:rPr>
              <w:t>L</w:t>
            </w:r>
            <w:r w:rsidRPr="009A39E4">
              <w:rPr>
                <w:rFonts w:ascii="Verdana" w:hAnsi="Verdana"/>
                <w:sz w:val="20"/>
                <w:szCs w:val="20"/>
              </w:rPr>
              <w:t>etter must be attached to this tender document.</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8A3582" w:rsidRDefault="008A3582" w:rsidP="004F762A">
      <w:pPr>
        <w:pStyle w:val="Heading2"/>
        <w:numPr>
          <w:ilvl w:val="0"/>
          <w:numId w:val="0"/>
        </w:numPr>
        <w:ind w:left="595" w:hanging="55"/>
      </w:pPr>
      <w:bookmarkStart w:id="47" w:name="_Toc347471334"/>
    </w:p>
    <w:p w:rsidR="004F762A" w:rsidRPr="00670D6E" w:rsidRDefault="008A3582" w:rsidP="004F762A">
      <w:pPr>
        <w:pStyle w:val="Heading2"/>
        <w:numPr>
          <w:ilvl w:val="0"/>
          <w:numId w:val="0"/>
        </w:numPr>
        <w:ind w:left="595" w:hanging="55"/>
      </w:pPr>
      <w:r>
        <w:t>2.3</w:t>
      </w:r>
      <w:r w:rsidR="004F762A">
        <w:t xml:space="preserve">      </w:t>
      </w:r>
      <w:r w:rsidR="004F762A" w:rsidRPr="00670D6E">
        <w:t>MANDATORY</w:t>
      </w:r>
      <w:bookmarkEnd w:id="47"/>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3"/>
        <w:gridCol w:w="1210"/>
        <w:gridCol w:w="1766"/>
      </w:tblGrid>
      <w:tr w:rsidR="004F762A" w:rsidRPr="00670D6E" w:rsidTr="004F762A">
        <w:trPr>
          <w:cantSplit/>
        </w:trPr>
        <w:tc>
          <w:tcPr>
            <w:tcW w:w="6202" w:type="dxa"/>
            <w:vMerge w:val="restart"/>
          </w:tcPr>
          <w:p w:rsidR="004F762A" w:rsidRPr="00857F3A" w:rsidRDefault="004F762A" w:rsidP="008A3582">
            <w:pPr>
              <w:jc w:val="both"/>
              <w:rPr>
                <w:rFonts w:ascii="Verdana" w:hAnsi="Verdana"/>
                <w:sz w:val="20"/>
                <w:szCs w:val="20"/>
              </w:rPr>
            </w:pPr>
            <w:r w:rsidRPr="00857F3A">
              <w:rPr>
                <w:rFonts w:ascii="Verdana" w:hAnsi="Verdana"/>
                <w:sz w:val="20"/>
                <w:szCs w:val="20"/>
              </w:rPr>
              <w:t>The supplier must provide a valid letter of good standing from the Private Security Sector Provident Fund (PSSPF)</w:t>
            </w:r>
            <w:r w:rsidR="008A3582">
              <w:rPr>
                <w:rFonts w:ascii="Verdana" w:hAnsi="Verdana"/>
                <w:sz w:val="20"/>
                <w:szCs w:val="20"/>
              </w:rPr>
              <w:t>.</w:t>
            </w:r>
          </w:p>
        </w:tc>
        <w:tc>
          <w:tcPr>
            <w:tcW w:w="1225"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814"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202" w:type="dxa"/>
            <w:vMerge/>
          </w:tcPr>
          <w:p w:rsidR="004F762A" w:rsidRPr="00501343" w:rsidRDefault="004F762A" w:rsidP="004F762A">
            <w:pPr>
              <w:jc w:val="both"/>
              <w:rPr>
                <w:rFonts w:ascii="Verdana" w:hAnsi="Verdana"/>
                <w:sz w:val="20"/>
                <w:szCs w:val="20"/>
              </w:rPr>
            </w:pPr>
          </w:p>
        </w:tc>
        <w:tc>
          <w:tcPr>
            <w:tcW w:w="1225" w:type="dxa"/>
          </w:tcPr>
          <w:p w:rsidR="004F762A" w:rsidRDefault="004F762A" w:rsidP="004F762A">
            <w:pPr>
              <w:jc w:val="both"/>
              <w:rPr>
                <w:rFonts w:ascii="Verdana" w:hAnsi="Verdana"/>
                <w:sz w:val="20"/>
                <w:szCs w:val="20"/>
              </w:rPr>
            </w:pPr>
          </w:p>
        </w:tc>
        <w:tc>
          <w:tcPr>
            <w:tcW w:w="1814" w:type="dxa"/>
          </w:tcPr>
          <w:p w:rsidR="004F762A" w:rsidRDefault="004F762A" w:rsidP="004F762A">
            <w:pPr>
              <w:jc w:val="both"/>
              <w:rPr>
                <w:rFonts w:ascii="Verdana" w:hAnsi="Verdana"/>
                <w:sz w:val="20"/>
                <w:szCs w:val="20"/>
              </w:rPr>
            </w:pPr>
          </w:p>
        </w:tc>
      </w:tr>
      <w:tr w:rsidR="004F762A" w:rsidTr="004F762A">
        <w:trPr>
          <w:cantSplit/>
          <w:trHeight w:val="344"/>
        </w:trPr>
        <w:tc>
          <w:tcPr>
            <w:tcW w:w="6202" w:type="dxa"/>
          </w:tcPr>
          <w:p w:rsidR="008A3582" w:rsidRDefault="004F762A" w:rsidP="004F762A">
            <w:pPr>
              <w:jc w:val="both"/>
              <w:rPr>
                <w:rFonts w:ascii="Verdana" w:hAnsi="Verdana"/>
                <w:sz w:val="20"/>
                <w:szCs w:val="20"/>
              </w:rPr>
            </w:pPr>
            <w:r w:rsidRPr="003B7928">
              <w:rPr>
                <w:rFonts w:ascii="Verdana" w:hAnsi="Verdana"/>
                <w:b/>
                <w:sz w:val="20"/>
                <w:szCs w:val="20"/>
              </w:rPr>
              <w:t>Substantiate:</w:t>
            </w:r>
            <w:r w:rsidRPr="00857F3A">
              <w:rPr>
                <w:rFonts w:ascii="Verdana" w:hAnsi="Verdana"/>
                <w:sz w:val="20"/>
                <w:szCs w:val="20"/>
              </w:rPr>
              <w:t xml:space="preserve"> </w:t>
            </w:r>
          </w:p>
          <w:p w:rsidR="008A3582" w:rsidRDefault="008A3582" w:rsidP="008A3582">
            <w:pPr>
              <w:pStyle w:val="ListParagraph"/>
              <w:numPr>
                <w:ilvl w:val="0"/>
                <w:numId w:val="50"/>
              </w:numPr>
              <w:ind w:hanging="659"/>
              <w:rPr>
                <w:rFonts w:ascii="Verdana" w:hAnsi="Verdana"/>
                <w:sz w:val="20"/>
                <w:szCs w:val="20"/>
              </w:rPr>
            </w:pPr>
            <w:r w:rsidRPr="008A3582">
              <w:rPr>
                <w:rFonts w:ascii="Verdana" w:hAnsi="Verdana"/>
                <w:sz w:val="20"/>
                <w:szCs w:val="20"/>
              </w:rPr>
              <w:t>The letter must confirm that the payments for the monthly contributions for the employees currently in their employ are up to date.</w:t>
            </w:r>
          </w:p>
          <w:p w:rsidR="00533FAA" w:rsidRDefault="00533FAA" w:rsidP="008A3582">
            <w:pPr>
              <w:pStyle w:val="ListParagraph"/>
              <w:numPr>
                <w:ilvl w:val="0"/>
                <w:numId w:val="50"/>
              </w:numPr>
              <w:ind w:hanging="659"/>
              <w:rPr>
                <w:rFonts w:ascii="Verdana" w:hAnsi="Verdana"/>
                <w:sz w:val="20"/>
                <w:szCs w:val="20"/>
              </w:rPr>
            </w:pPr>
            <w:r>
              <w:rPr>
                <w:rFonts w:ascii="Verdana" w:hAnsi="Verdana"/>
                <w:sz w:val="20"/>
                <w:szCs w:val="20"/>
              </w:rPr>
              <w:t>Or a satisfactory arrangement has been made with the UIF to meet this obligation.</w:t>
            </w:r>
          </w:p>
          <w:p w:rsidR="00533FAA" w:rsidRDefault="00533FAA" w:rsidP="008A3582">
            <w:pPr>
              <w:pStyle w:val="ListParagraph"/>
              <w:numPr>
                <w:ilvl w:val="0"/>
                <w:numId w:val="50"/>
              </w:numPr>
              <w:ind w:hanging="659"/>
              <w:rPr>
                <w:rFonts w:ascii="Verdana" w:hAnsi="Verdana"/>
                <w:sz w:val="20"/>
                <w:szCs w:val="20"/>
              </w:rPr>
            </w:pPr>
            <w:r>
              <w:rPr>
                <w:rFonts w:ascii="Verdana" w:hAnsi="Verdana"/>
                <w:sz w:val="20"/>
                <w:szCs w:val="20"/>
              </w:rPr>
              <w:t xml:space="preserve">Letter must be attached to this tender document. </w:t>
            </w:r>
          </w:p>
          <w:p w:rsidR="00533FAA" w:rsidRPr="00533FAA" w:rsidRDefault="00533FAA" w:rsidP="00533FAA">
            <w:pPr>
              <w:ind w:left="61"/>
              <w:rPr>
                <w:rFonts w:ascii="Verdana" w:hAnsi="Verdana"/>
                <w:sz w:val="20"/>
                <w:szCs w:val="20"/>
              </w:rPr>
            </w:pPr>
            <w:r w:rsidRPr="00533FAA">
              <w:rPr>
                <w:rFonts w:ascii="Verdana" w:hAnsi="Verdana"/>
                <w:sz w:val="20"/>
                <w:szCs w:val="20"/>
              </w:rPr>
              <w:t>(Failure to comply may lead to disqualification)</w:t>
            </w:r>
          </w:p>
        </w:tc>
        <w:tc>
          <w:tcPr>
            <w:tcW w:w="1225" w:type="dxa"/>
          </w:tcPr>
          <w:p w:rsidR="004F762A" w:rsidRDefault="004F762A" w:rsidP="004F762A">
            <w:pPr>
              <w:jc w:val="both"/>
              <w:rPr>
                <w:rFonts w:ascii="Verdana" w:hAnsi="Verdana"/>
                <w:sz w:val="20"/>
                <w:szCs w:val="20"/>
              </w:rPr>
            </w:pPr>
          </w:p>
        </w:tc>
        <w:tc>
          <w:tcPr>
            <w:tcW w:w="1814" w:type="dxa"/>
          </w:tcPr>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tc>
      </w:tr>
    </w:tbl>
    <w:p w:rsidR="00533FAA" w:rsidRDefault="00533FAA" w:rsidP="00533FAA">
      <w:pPr>
        <w:rPr>
          <w:rFonts w:ascii="Arial" w:hAnsi="Arial"/>
          <w:snapToGrid w:val="0"/>
          <w:sz w:val="22"/>
          <w:szCs w:val="20"/>
          <w:lang w:val="en-GB"/>
        </w:rPr>
      </w:pPr>
      <w:r>
        <w:br w:type="page"/>
      </w:r>
    </w:p>
    <w:p w:rsidR="004F762A" w:rsidRDefault="004F762A" w:rsidP="004F762A">
      <w:pPr>
        <w:pStyle w:val="Heading2"/>
        <w:numPr>
          <w:ilvl w:val="0"/>
          <w:numId w:val="0"/>
        </w:numPr>
        <w:ind w:left="595" w:hanging="55"/>
      </w:pPr>
    </w:p>
    <w:p w:rsidR="004F762A" w:rsidRPr="004F49CC" w:rsidRDefault="008A3582" w:rsidP="004F762A">
      <w:pPr>
        <w:pStyle w:val="Heading2"/>
        <w:numPr>
          <w:ilvl w:val="0"/>
          <w:numId w:val="0"/>
        </w:numPr>
        <w:ind w:left="595" w:hanging="55"/>
      </w:pPr>
      <w:bookmarkStart w:id="48" w:name="_Toc347471335"/>
      <w:r>
        <w:t>2.4</w:t>
      </w:r>
      <w:r w:rsidR="004F762A" w:rsidRPr="004F49CC">
        <w:t xml:space="preserve">   MANDATORY</w:t>
      </w:r>
      <w:bookmarkEnd w:id="48"/>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6"/>
        <w:gridCol w:w="1231"/>
        <w:gridCol w:w="1392"/>
      </w:tblGrid>
      <w:tr w:rsidR="004F762A" w:rsidRPr="004F49CC" w:rsidTr="004F762A">
        <w:trPr>
          <w:cantSplit/>
        </w:trPr>
        <w:tc>
          <w:tcPr>
            <w:tcW w:w="6640" w:type="dxa"/>
            <w:vMerge w:val="restart"/>
          </w:tcPr>
          <w:p w:rsidR="004F762A" w:rsidRPr="004F49CC" w:rsidRDefault="004F762A" w:rsidP="004F762A">
            <w:pPr>
              <w:jc w:val="both"/>
              <w:rPr>
                <w:rFonts w:ascii="Verdana" w:hAnsi="Verdana"/>
                <w:sz w:val="20"/>
                <w:szCs w:val="20"/>
              </w:rPr>
            </w:pPr>
            <w:r w:rsidRPr="004F49CC">
              <w:rPr>
                <w:rFonts w:ascii="Verdana" w:hAnsi="Verdana"/>
                <w:sz w:val="20"/>
                <w:szCs w:val="20"/>
                <w:lang w:val="en-GB"/>
              </w:rPr>
              <w:t>Completed security clearance forms for supervisors and all staff assigned to this contr</w:t>
            </w:r>
            <w:r w:rsidR="00DD2AEE">
              <w:rPr>
                <w:rFonts w:ascii="Verdana" w:hAnsi="Verdana"/>
                <w:sz w:val="20"/>
                <w:szCs w:val="20"/>
                <w:lang w:val="en-GB"/>
              </w:rPr>
              <w:t>act, should be submitted to NHLS</w:t>
            </w:r>
            <w:r w:rsidRPr="004F49CC">
              <w:rPr>
                <w:rFonts w:ascii="Verdana" w:hAnsi="Verdana"/>
                <w:sz w:val="20"/>
                <w:szCs w:val="20"/>
                <w:lang w:val="en-GB"/>
              </w:rPr>
              <w:t xml:space="preserve"> within one month of rece</w:t>
            </w:r>
            <w:r w:rsidR="00DD2AEE">
              <w:rPr>
                <w:rFonts w:ascii="Verdana" w:hAnsi="Verdana"/>
                <w:sz w:val="20"/>
                <w:szCs w:val="20"/>
                <w:lang w:val="en-GB"/>
              </w:rPr>
              <w:t>iving of a Letter of Award. NHLS</w:t>
            </w:r>
            <w:r w:rsidRPr="004F49CC">
              <w:rPr>
                <w:rFonts w:ascii="Verdana" w:hAnsi="Verdana"/>
                <w:sz w:val="20"/>
                <w:szCs w:val="20"/>
                <w:lang w:val="en-GB"/>
              </w:rPr>
              <w:t xml:space="preserve"> will submit them to the National Intelligence Agency (NIA) for a security clearance. A positive security clearance for all staff is required before the commencement date of the contract. The costs for the clearance process shall be recovered from the contractor within six months after commencement of service and thereafter as and when required when new employees are employed by the contractor.</w:t>
            </w:r>
          </w:p>
        </w:tc>
        <w:tc>
          <w:tcPr>
            <w:tcW w:w="1250" w:type="dxa"/>
          </w:tcPr>
          <w:p w:rsidR="004F762A" w:rsidRPr="004F49CC" w:rsidRDefault="004F762A" w:rsidP="004F762A">
            <w:pPr>
              <w:rPr>
                <w:rFonts w:ascii="Verdana" w:hAnsi="Verdana"/>
                <w:sz w:val="20"/>
                <w:szCs w:val="20"/>
              </w:rPr>
            </w:pPr>
            <w:r w:rsidRPr="004F49CC">
              <w:rPr>
                <w:rFonts w:ascii="Verdana" w:hAnsi="Verdana"/>
                <w:sz w:val="20"/>
                <w:szCs w:val="20"/>
              </w:rPr>
              <w:t>Comply</w:t>
            </w:r>
          </w:p>
        </w:tc>
        <w:tc>
          <w:tcPr>
            <w:tcW w:w="1423" w:type="dxa"/>
          </w:tcPr>
          <w:p w:rsidR="004F762A" w:rsidRPr="004F49CC" w:rsidRDefault="004F762A" w:rsidP="004F762A">
            <w:pPr>
              <w:rPr>
                <w:rFonts w:ascii="Verdana" w:hAnsi="Verdana"/>
                <w:sz w:val="20"/>
                <w:szCs w:val="20"/>
              </w:rPr>
            </w:pPr>
            <w:r w:rsidRPr="004F49CC">
              <w:rPr>
                <w:rFonts w:ascii="Verdana" w:hAnsi="Verdana"/>
                <w:sz w:val="20"/>
                <w:szCs w:val="20"/>
              </w:rPr>
              <w:t>Not Comply</w:t>
            </w:r>
          </w:p>
        </w:tc>
      </w:tr>
      <w:tr w:rsidR="004F762A" w:rsidRPr="004F49CC" w:rsidTr="004F762A">
        <w:trPr>
          <w:cantSplit/>
          <w:trHeight w:val="344"/>
        </w:trPr>
        <w:tc>
          <w:tcPr>
            <w:tcW w:w="6640" w:type="dxa"/>
            <w:vMerge/>
          </w:tcPr>
          <w:p w:rsidR="004F762A" w:rsidRPr="004F49CC" w:rsidRDefault="004F762A" w:rsidP="004F762A">
            <w:pPr>
              <w:jc w:val="both"/>
              <w:rPr>
                <w:rFonts w:ascii="Verdana" w:hAnsi="Verdana"/>
                <w:i/>
                <w:color w:val="FF0000"/>
                <w:sz w:val="20"/>
                <w:szCs w:val="20"/>
              </w:rPr>
            </w:pPr>
          </w:p>
        </w:tc>
        <w:tc>
          <w:tcPr>
            <w:tcW w:w="1250" w:type="dxa"/>
          </w:tcPr>
          <w:p w:rsidR="004F762A" w:rsidRPr="004F49CC" w:rsidRDefault="004F762A" w:rsidP="004F762A">
            <w:pPr>
              <w:jc w:val="both"/>
              <w:rPr>
                <w:rFonts w:ascii="Verdana" w:hAnsi="Verdana"/>
                <w:color w:val="FF0000"/>
                <w:sz w:val="20"/>
                <w:szCs w:val="20"/>
              </w:rPr>
            </w:pPr>
          </w:p>
        </w:tc>
        <w:tc>
          <w:tcPr>
            <w:tcW w:w="1423" w:type="dxa"/>
          </w:tcPr>
          <w:p w:rsidR="004F762A" w:rsidRPr="004F49CC" w:rsidRDefault="004F762A" w:rsidP="004F762A">
            <w:pPr>
              <w:jc w:val="both"/>
              <w:rPr>
                <w:rFonts w:ascii="Verdana" w:hAnsi="Verdana"/>
                <w:color w:val="FF0000"/>
                <w:sz w:val="20"/>
                <w:szCs w:val="20"/>
              </w:rPr>
            </w:pPr>
          </w:p>
        </w:tc>
      </w:tr>
    </w:tbl>
    <w:p w:rsidR="004F762A" w:rsidRDefault="004F762A" w:rsidP="004F762A">
      <w:pPr>
        <w:pStyle w:val="NewHeading1"/>
        <w:numPr>
          <w:ilvl w:val="0"/>
          <w:numId w:val="0"/>
        </w:numPr>
        <w:ind w:left="360"/>
        <w:rPr>
          <w:rFonts w:ascii="Arial" w:hAnsi="Arial"/>
          <w:b/>
          <w:snapToGrid w:val="0"/>
          <w:sz w:val="22"/>
          <w:lang w:val="en-GB"/>
        </w:rPr>
      </w:pPr>
    </w:p>
    <w:p w:rsidR="004F762A" w:rsidRPr="00670D6E" w:rsidRDefault="004F762A" w:rsidP="004F762A">
      <w:pPr>
        <w:pStyle w:val="Heading2"/>
        <w:numPr>
          <w:ilvl w:val="0"/>
          <w:numId w:val="0"/>
        </w:numPr>
        <w:ind w:left="595" w:hanging="55"/>
      </w:pPr>
      <w:bookmarkStart w:id="49" w:name="_Toc347471336"/>
      <w:r>
        <w:t>2.</w:t>
      </w:r>
      <w:r w:rsidR="008A3582">
        <w:t>5</w:t>
      </w:r>
      <w:r>
        <w:t xml:space="preserve">    </w:t>
      </w:r>
      <w:r w:rsidRPr="00670D6E">
        <w:t>MANDATORY</w:t>
      </w:r>
      <w:bookmarkEnd w:id="49"/>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3"/>
        <w:gridCol w:w="1232"/>
        <w:gridCol w:w="1394"/>
      </w:tblGrid>
      <w:tr w:rsidR="004F762A" w:rsidRPr="00670D6E" w:rsidTr="004F762A">
        <w:trPr>
          <w:cantSplit/>
        </w:trPr>
        <w:tc>
          <w:tcPr>
            <w:tcW w:w="6640" w:type="dxa"/>
            <w:vMerge w:val="restart"/>
          </w:tcPr>
          <w:p w:rsidR="004F762A" w:rsidRPr="00CB1B0B" w:rsidRDefault="004F762A" w:rsidP="004F762A">
            <w:pPr>
              <w:jc w:val="both"/>
              <w:rPr>
                <w:rFonts w:ascii="Verdana" w:hAnsi="Verdana"/>
                <w:sz w:val="20"/>
                <w:szCs w:val="20"/>
              </w:rPr>
            </w:pPr>
            <w:r w:rsidRPr="00CB1B0B">
              <w:rPr>
                <w:rFonts w:ascii="Verdana" w:hAnsi="Verdana"/>
                <w:sz w:val="20"/>
                <w:szCs w:val="20"/>
              </w:rPr>
              <w:t>Complete and proper universal uniforms should be provided to all contract security staff for all seasons</w:t>
            </w:r>
            <w:r>
              <w:rPr>
                <w:rFonts w:ascii="Verdana" w:hAnsi="Verdana"/>
                <w:sz w:val="20"/>
                <w:szCs w:val="20"/>
              </w:rPr>
              <w:t xml:space="preserve"> on an annual basis</w:t>
            </w:r>
            <w:r>
              <w:rPr>
                <w:rFonts w:ascii="Verdana" w:hAnsi="Verdana"/>
                <w:color w:val="FF0000"/>
                <w:sz w:val="20"/>
                <w:szCs w:val="20"/>
              </w:rPr>
              <w:t>.</w:t>
            </w:r>
          </w:p>
          <w:p w:rsidR="004F762A" w:rsidRPr="00CB1B0B" w:rsidRDefault="004F762A" w:rsidP="004F762A">
            <w:pPr>
              <w:jc w:val="both"/>
              <w:rPr>
                <w:rFonts w:ascii="Verdana" w:hAnsi="Verdana"/>
                <w:sz w:val="20"/>
                <w:szCs w:val="20"/>
              </w:rPr>
            </w:pPr>
          </w:p>
          <w:p w:rsidR="004F762A" w:rsidRPr="00CB1B0B" w:rsidRDefault="004F762A" w:rsidP="004F762A">
            <w:pPr>
              <w:jc w:val="both"/>
              <w:rPr>
                <w:rFonts w:ascii="Verdana" w:hAnsi="Verdana"/>
                <w:sz w:val="20"/>
                <w:szCs w:val="20"/>
              </w:rPr>
            </w:pPr>
            <w:r w:rsidRPr="00CB1B0B">
              <w:rPr>
                <w:rFonts w:ascii="Verdana" w:hAnsi="Verdana"/>
                <w:sz w:val="20"/>
                <w:szCs w:val="20"/>
              </w:rPr>
              <w:t>Uniforms</w:t>
            </w:r>
          </w:p>
          <w:p w:rsidR="004F762A" w:rsidRPr="00CB1B0B" w:rsidRDefault="004F762A" w:rsidP="004F762A">
            <w:pPr>
              <w:jc w:val="both"/>
              <w:rPr>
                <w:rFonts w:ascii="Verdana" w:hAnsi="Verdana"/>
                <w:sz w:val="20"/>
                <w:szCs w:val="20"/>
              </w:rPr>
            </w:pPr>
            <w:r w:rsidRPr="00CB1B0B">
              <w:rPr>
                <w:rFonts w:ascii="Verdana" w:hAnsi="Verdana"/>
                <w:sz w:val="20"/>
                <w:szCs w:val="20"/>
              </w:rPr>
              <w:t>2 x Sets of neat and matching uniforms (photo/ sample)</w:t>
            </w:r>
          </w:p>
          <w:p w:rsidR="004F762A" w:rsidRPr="00CB1B0B" w:rsidRDefault="004F762A" w:rsidP="004F762A">
            <w:pPr>
              <w:jc w:val="both"/>
              <w:rPr>
                <w:rFonts w:ascii="Verdana" w:hAnsi="Verdana"/>
                <w:sz w:val="20"/>
                <w:szCs w:val="20"/>
              </w:rPr>
            </w:pPr>
            <w:r w:rsidRPr="00CB1B0B">
              <w:rPr>
                <w:rFonts w:ascii="Verdana" w:hAnsi="Verdana"/>
                <w:sz w:val="20"/>
                <w:szCs w:val="20"/>
              </w:rPr>
              <w:t>1 x Jersey</w:t>
            </w:r>
          </w:p>
          <w:p w:rsidR="004F762A" w:rsidRPr="00CB1B0B" w:rsidRDefault="004F762A" w:rsidP="004F762A">
            <w:pPr>
              <w:jc w:val="both"/>
              <w:rPr>
                <w:rFonts w:ascii="Verdana" w:hAnsi="Verdana"/>
                <w:sz w:val="20"/>
                <w:szCs w:val="20"/>
              </w:rPr>
            </w:pPr>
            <w:r w:rsidRPr="00CB1B0B">
              <w:rPr>
                <w:rFonts w:ascii="Verdana" w:hAnsi="Verdana"/>
                <w:sz w:val="20"/>
                <w:szCs w:val="20"/>
              </w:rPr>
              <w:t>1 x Jacket for winter</w:t>
            </w:r>
          </w:p>
          <w:p w:rsidR="004F762A" w:rsidRPr="00CB1B0B" w:rsidRDefault="004F762A" w:rsidP="004F762A">
            <w:pPr>
              <w:jc w:val="both"/>
              <w:rPr>
                <w:rFonts w:ascii="Verdana" w:hAnsi="Verdana"/>
                <w:sz w:val="20"/>
                <w:szCs w:val="20"/>
              </w:rPr>
            </w:pPr>
            <w:r w:rsidRPr="00CB1B0B">
              <w:rPr>
                <w:rFonts w:ascii="Verdana" w:hAnsi="Verdana"/>
                <w:sz w:val="20"/>
                <w:szCs w:val="20"/>
              </w:rPr>
              <w:t xml:space="preserve">1 x </w:t>
            </w:r>
            <w:r>
              <w:rPr>
                <w:rFonts w:ascii="Verdana" w:hAnsi="Verdana"/>
                <w:sz w:val="20"/>
                <w:szCs w:val="20"/>
              </w:rPr>
              <w:t>waterproof r</w:t>
            </w:r>
            <w:r w:rsidRPr="00CB1B0B">
              <w:rPr>
                <w:rFonts w:ascii="Verdana" w:hAnsi="Verdana"/>
                <w:sz w:val="20"/>
                <w:szCs w:val="20"/>
              </w:rPr>
              <w:t>ain coat</w:t>
            </w:r>
          </w:p>
          <w:p w:rsidR="004F762A" w:rsidRPr="00670D6E" w:rsidRDefault="004F762A" w:rsidP="00096AC9">
            <w:pPr>
              <w:jc w:val="both"/>
              <w:rPr>
                <w:rFonts w:ascii="Verdana" w:hAnsi="Verdana"/>
                <w:sz w:val="20"/>
                <w:szCs w:val="20"/>
              </w:rPr>
            </w:pPr>
            <w:r w:rsidRPr="00CB1B0B">
              <w:rPr>
                <w:rFonts w:ascii="Verdana" w:hAnsi="Verdana"/>
                <w:sz w:val="20"/>
                <w:szCs w:val="20"/>
              </w:rPr>
              <w:t xml:space="preserve">1 x pair of </w:t>
            </w:r>
            <w:r>
              <w:rPr>
                <w:rFonts w:ascii="Verdana" w:hAnsi="Verdana"/>
                <w:sz w:val="20"/>
                <w:szCs w:val="20"/>
              </w:rPr>
              <w:t xml:space="preserve">safety </w:t>
            </w:r>
            <w:r w:rsidRPr="00CB1B0B">
              <w:rPr>
                <w:rFonts w:ascii="Verdana" w:hAnsi="Verdana"/>
                <w:sz w:val="20"/>
                <w:szCs w:val="20"/>
              </w:rPr>
              <w:t>shoes</w:t>
            </w:r>
          </w:p>
        </w:tc>
        <w:tc>
          <w:tcPr>
            <w:tcW w:w="1250"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640" w:type="dxa"/>
            <w:vMerge/>
          </w:tcPr>
          <w:p w:rsidR="004F762A" w:rsidRPr="00B02398" w:rsidRDefault="004F762A" w:rsidP="004F762A">
            <w:pPr>
              <w:jc w:val="both"/>
              <w:rPr>
                <w:rFonts w:ascii="Verdana" w:hAnsi="Verdana"/>
                <w:i/>
                <w:sz w:val="20"/>
                <w:szCs w:val="20"/>
              </w:rPr>
            </w:pPr>
          </w:p>
        </w:tc>
        <w:tc>
          <w:tcPr>
            <w:tcW w:w="1250" w:type="dxa"/>
          </w:tcPr>
          <w:p w:rsidR="004F762A" w:rsidRDefault="004F762A" w:rsidP="004F762A">
            <w:pPr>
              <w:jc w:val="both"/>
              <w:rPr>
                <w:rFonts w:ascii="Verdana" w:hAnsi="Verdana"/>
                <w:sz w:val="20"/>
                <w:szCs w:val="20"/>
              </w:rPr>
            </w:pPr>
          </w:p>
        </w:tc>
        <w:tc>
          <w:tcPr>
            <w:tcW w:w="1423" w:type="dxa"/>
          </w:tcPr>
          <w:p w:rsidR="004F762A" w:rsidRDefault="004F762A" w:rsidP="004F762A">
            <w:pPr>
              <w:jc w:val="both"/>
              <w:rPr>
                <w:rFonts w:ascii="Verdana" w:hAnsi="Verdana"/>
                <w:sz w:val="20"/>
                <w:szCs w:val="20"/>
              </w:rPr>
            </w:pPr>
          </w:p>
        </w:tc>
      </w:tr>
    </w:tbl>
    <w:p w:rsidR="00DD2AEE" w:rsidRDefault="00DD2AEE" w:rsidP="004F762A">
      <w:pPr>
        <w:pStyle w:val="Heading2"/>
        <w:numPr>
          <w:ilvl w:val="0"/>
          <w:numId w:val="0"/>
        </w:numPr>
        <w:ind w:left="595" w:hanging="55"/>
      </w:pPr>
      <w:bookmarkStart w:id="50" w:name="_Toc347471337"/>
    </w:p>
    <w:p w:rsidR="004F762A" w:rsidRPr="00670D6E" w:rsidRDefault="004F762A" w:rsidP="004F762A">
      <w:pPr>
        <w:pStyle w:val="Heading2"/>
        <w:numPr>
          <w:ilvl w:val="0"/>
          <w:numId w:val="0"/>
        </w:numPr>
        <w:ind w:left="595" w:hanging="55"/>
      </w:pPr>
      <w:r>
        <w:t>2.</w:t>
      </w:r>
      <w:r w:rsidR="008A3582">
        <w:t>6</w:t>
      </w:r>
      <w:r>
        <w:t xml:space="preserve">    </w:t>
      </w:r>
      <w:r w:rsidRPr="00670D6E">
        <w:t>MANDATORY</w:t>
      </w:r>
      <w:bookmarkEnd w:id="5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2"/>
        <w:gridCol w:w="1393"/>
      </w:tblGrid>
      <w:tr w:rsidR="004F762A" w:rsidRPr="00670D6E" w:rsidTr="004F762A">
        <w:trPr>
          <w:cantSplit/>
        </w:trPr>
        <w:tc>
          <w:tcPr>
            <w:tcW w:w="6640" w:type="dxa"/>
            <w:vMerge w:val="restart"/>
          </w:tcPr>
          <w:p w:rsidR="004F762A" w:rsidRPr="00E15D3C" w:rsidRDefault="004F762A" w:rsidP="008A3582">
            <w:pPr>
              <w:jc w:val="both"/>
              <w:rPr>
                <w:rFonts w:ascii="Verdana" w:hAnsi="Verdana"/>
                <w:sz w:val="20"/>
                <w:szCs w:val="20"/>
              </w:rPr>
            </w:pPr>
            <w:r w:rsidRPr="00E15D3C">
              <w:rPr>
                <w:rFonts w:ascii="Verdana" w:hAnsi="Verdana"/>
                <w:sz w:val="20"/>
                <w:szCs w:val="20"/>
              </w:rPr>
              <w:t>The working hours will be 24/7/365 and the shifts will comply with the requirements of the Basic Conditions of Employment Act.</w:t>
            </w:r>
            <w:r>
              <w:rPr>
                <w:rFonts w:ascii="Verdana" w:hAnsi="Verdana"/>
                <w:sz w:val="20"/>
                <w:szCs w:val="20"/>
              </w:rPr>
              <w:t xml:space="preserve"> </w:t>
            </w:r>
          </w:p>
        </w:tc>
        <w:tc>
          <w:tcPr>
            <w:tcW w:w="1250"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640" w:type="dxa"/>
            <w:vMerge/>
          </w:tcPr>
          <w:p w:rsidR="004F762A" w:rsidRPr="00B02398" w:rsidRDefault="004F762A" w:rsidP="004F762A">
            <w:pPr>
              <w:jc w:val="both"/>
              <w:rPr>
                <w:rFonts w:ascii="Verdana" w:hAnsi="Verdana"/>
                <w:i/>
                <w:sz w:val="20"/>
                <w:szCs w:val="20"/>
              </w:rPr>
            </w:pPr>
          </w:p>
        </w:tc>
        <w:tc>
          <w:tcPr>
            <w:tcW w:w="1250" w:type="dxa"/>
          </w:tcPr>
          <w:p w:rsidR="004F762A" w:rsidRDefault="004F762A" w:rsidP="004F762A">
            <w:pPr>
              <w:jc w:val="both"/>
              <w:rPr>
                <w:rFonts w:ascii="Verdana" w:hAnsi="Verdana"/>
                <w:sz w:val="20"/>
                <w:szCs w:val="20"/>
              </w:rPr>
            </w:pPr>
          </w:p>
        </w:tc>
        <w:tc>
          <w:tcPr>
            <w:tcW w:w="1423" w:type="dxa"/>
          </w:tcPr>
          <w:p w:rsidR="004F762A" w:rsidRDefault="004F762A" w:rsidP="004F762A">
            <w:pPr>
              <w:jc w:val="both"/>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bookmarkStart w:id="51" w:name="_Toc347471338"/>
      <w:r>
        <w:t>2.</w:t>
      </w:r>
      <w:r w:rsidR="008A3582">
        <w:t>7</w:t>
      </w:r>
      <w:r>
        <w:t xml:space="preserve">     </w:t>
      </w:r>
      <w:r w:rsidRPr="00406435">
        <w:t>MANDATORY</w:t>
      </w:r>
      <w:bookmarkEnd w:id="51"/>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RPr="00E15D3C" w:rsidTr="004F762A">
        <w:trPr>
          <w:cantSplit/>
        </w:trPr>
        <w:tc>
          <w:tcPr>
            <w:tcW w:w="6641" w:type="dxa"/>
            <w:vMerge w:val="restart"/>
          </w:tcPr>
          <w:p w:rsidR="004F762A" w:rsidRPr="00E15D3C" w:rsidRDefault="004F762A" w:rsidP="004F762A">
            <w:pPr>
              <w:jc w:val="both"/>
              <w:rPr>
                <w:rFonts w:ascii="Verdana" w:hAnsi="Verdana"/>
                <w:sz w:val="20"/>
                <w:szCs w:val="20"/>
              </w:rPr>
            </w:pPr>
            <w:r w:rsidRPr="00E15D3C">
              <w:rPr>
                <w:rFonts w:ascii="Verdana" w:hAnsi="Verdana"/>
                <w:sz w:val="20"/>
                <w:szCs w:val="20"/>
              </w:rPr>
              <w:t>Vetting forms for all new additional or replacement contrac</w:t>
            </w:r>
            <w:r w:rsidR="00DD2AEE">
              <w:rPr>
                <w:rFonts w:ascii="Verdana" w:hAnsi="Verdana"/>
                <w:sz w:val="20"/>
                <w:szCs w:val="20"/>
              </w:rPr>
              <w:t>t security staff working on NHLS</w:t>
            </w:r>
            <w:r w:rsidRPr="00E15D3C">
              <w:rPr>
                <w:rFonts w:ascii="Verdana" w:hAnsi="Verdana"/>
                <w:sz w:val="20"/>
                <w:szCs w:val="20"/>
              </w:rPr>
              <w:t xml:space="preserve"> pr</w:t>
            </w:r>
            <w:r w:rsidR="00DD2AEE">
              <w:rPr>
                <w:rFonts w:ascii="Verdana" w:hAnsi="Verdana"/>
                <w:sz w:val="20"/>
                <w:szCs w:val="20"/>
              </w:rPr>
              <w:t>emises must be submitted to NHLS</w:t>
            </w:r>
            <w:r w:rsidRPr="00E15D3C">
              <w:rPr>
                <w:rFonts w:ascii="Verdana" w:hAnsi="Verdana"/>
                <w:sz w:val="20"/>
                <w:szCs w:val="20"/>
              </w:rPr>
              <w:t xml:space="preserve"> for verification via National Intelligence Agency, prior to their deployment on sites. </w:t>
            </w:r>
          </w:p>
        </w:tc>
        <w:tc>
          <w:tcPr>
            <w:tcW w:w="1249" w:type="dxa"/>
          </w:tcPr>
          <w:p w:rsidR="004F762A" w:rsidRPr="00E15D3C" w:rsidRDefault="004F762A" w:rsidP="004F762A">
            <w:pPr>
              <w:rPr>
                <w:rFonts w:ascii="Verdana" w:hAnsi="Verdana"/>
                <w:sz w:val="20"/>
                <w:szCs w:val="20"/>
              </w:rPr>
            </w:pPr>
            <w:r w:rsidRPr="00E15D3C">
              <w:rPr>
                <w:rFonts w:ascii="Verdana" w:hAnsi="Verdana"/>
                <w:sz w:val="20"/>
                <w:szCs w:val="20"/>
              </w:rPr>
              <w:t>Comply</w:t>
            </w:r>
          </w:p>
        </w:tc>
        <w:tc>
          <w:tcPr>
            <w:tcW w:w="1423" w:type="dxa"/>
          </w:tcPr>
          <w:p w:rsidR="004F762A" w:rsidRPr="00E15D3C" w:rsidRDefault="004F762A" w:rsidP="004F762A">
            <w:pPr>
              <w:rPr>
                <w:rFonts w:ascii="Verdana" w:hAnsi="Verdana"/>
                <w:sz w:val="20"/>
                <w:szCs w:val="20"/>
              </w:rPr>
            </w:pPr>
            <w:r w:rsidRPr="00E15D3C">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096AC9">
      <w:pPr>
        <w:pStyle w:val="Heading2"/>
        <w:numPr>
          <w:ilvl w:val="0"/>
          <w:numId w:val="0"/>
        </w:numPr>
      </w:pPr>
      <w:r>
        <w:rPr>
          <w:rFonts w:ascii="Verdana" w:hAnsi="Verdana"/>
          <w:sz w:val="20"/>
        </w:rPr>
        <w:t xml:space="preserve">       </w:t>
      </w:r>
    </w:p>
    <w:p w:rsidR="004F762A" w:rsidRDefault="004F762A" w:rsidP="004F762A">
      <w:pPr>
        <w:pStyle w:val="Heading2"/>
        <w:numPr>
          <w:ilvl w:val="0"/>
          <w:numId w:val="0"/>
        </w:numPr>
      </w:pPr>
      <w:r>
        <w:rPr>
          <w:rFonts w:ascii="Verdana" w:hAnsi="Verdana"/>
          <w:sz w:val="20"/>
        </w:rPr>
        <w:t xml:space="preserve">        </w:t>
      </w:r>
      <w:bookmarkStart w:id="52" w:name="_Toc347471339"/>
      <w:r w:rsidR="008A3582">
        <w:t>2.8</w:t>
      </w:r>
      <w:r>
        <w:t xml:space="preserve">    </w:t>
      </w:r>
      <w:r w:rsidRPr="00406435">
        <w:t>MANDATORY</w:t>
      </w:r>
      <w:bookmarkEnd w:id="52"/>
    </w:p>
    <w:p w:rsidR="004F762A" w:rsidRPr="004F49CC" w:rsidRDefault="004F762A" w:rsidP="004F762A">
      <w:pPr>
        <w:rPr>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3"/>
        <w:gridCol w:w="1232"/>
        <w:gridCol w:w="1394"/>
      </w:tblGrid>
      <w:tr w:rsidR="004F762A" w:rsidRPr="004E7697" w:rsidTr="004F762A">
        <w:trPr>
          <w:cantSplit/>
        </w:trPr>
        <w:tc>
          <w:tcPr>
            <w:tcW w:w="6639" w:type="dxa"/>
            <w:vMerge w:val="restart"/>
          </w:tcPr>
          <w:p w:rsidR="004F762A" w:rsidRDefault="004F762A" w:rsidP="004F762A">
            <w:pPr>
              <w:jc w:val="both"/>
              <w:rPr>
                <w:rFonts w:ascii="Verdana" w:hAnsi="Verdana"/>
                <w:sz w:val="20"/>
                <w:szCs w:val="20"/>
              </w:rPr>
            </w:pPr>
            <w:r w:rsidRPr="00A70585">
              <w:rPr>
                <w:rFonts w:ascii="Verdana" w:hAnsi="Verdana"/>
                <w:sz w:val="20"/>
                <w:szCs w:val="20"/>
              </w:rPr>
              <w:t xml:space="preserve">The vendor must provide </w:t>
            </w:r>
            <w:r w:rsidRPr="00FC497C">
              <w:rPr>
                <w:rFonts w:ascii="Verdana" w:hAnsi="Verdana"/>
                <w:sz w:val="20"/>
                <w:szCs w:val="20"/>
              </w:rPr>
              <w:t>sufficient transport</w:t>
            </w:r>
            <w:r>
              <w:rPr>
                <w:rFonts w:ascii="Verdana" w:hAnsi="Verdana"/>
                <w:sz w:val="20"/>
                <w:szCs w:val="20"/>
              </w:rPr>
              <w:t xml:space="preserve"> requirements</w:t>
            </w:r>
            <w:r w:rsidRPr="00FC497C">
              <w:rPr>
                <w:rFonts w:ascii="Verdana" w:hAnsi="Verdana"/>
                <w:sz w:val="20"/>
                <w:szCs w:val="20"/>
              </w:rPr>
              <w:t xml:space="preserve"> for </w:t>
            </w:r>
            <w:r>
              <w:rPr>
                <w:rFonts w:ascii="Verdana" w:hAnsi="Verdana"/>
                <w:sz w:val="20"/>
                <w:szCs w:val="20"/>
              </w:rPr>
              <w:t xml:space="preserve">its working personnel on daily basis to and from the sites. </w:t>
            </w:r>
            <w:r>
              <w:rPr>
                <w:rFonts w:ascii="Verdana" w:hAnsi="Verdana"/>
                <w:color w:val="FF0000"/>
                <w:sz w:val="20"/>
                <w:szCs w:val="20"/>
              </w:rPr>
              <w:t xml:space="preserve"> </w:t>
            </w:r>
            <w:r>
              <w:rPr>
                <w:rFonts w:ascii="Verdana" w:hAnsi="Verdana"/>
                <w:sz w:val="20"/>
                <w:szCs w:val="20"/>
              </w:rPr>
              <w:t xml:space="preserve"> </w:t>
            </w: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r>
              <w:rPr>
                <w:rFonts w:ascii="Verdana" w:hAnsi="Verdana"/>
                <w:sz w:val="20"/>
                <w:szCs w:val="20"/>
              </w:rPr>
              <w:t xml:space="preserve">Transport costs must not be deducted from security officers as these costs should form part of the quotation from the bidder. </w:t>
            </w:r>
          </w:p>
          <w:p w:rsidR="004F762A" w:rsidRDefault="004F762A" w:rsidP="004F762A">
            <w:pPr>
              <w:jc w:val="both"/>
              <w:rPr>
                <w:rFonts w:ascii="Verdana" w:hAnsi="Verdana"/>
                <w:sz w:val="20"/>
                <w:szCs w:val="20"/>
              </w:rPr>
            </w:pPr>
          </w:p>
          <w:p w:rsidR="004F762A" w:rsidRPr="004E7697" w:rsidRDefault="004F762A" w:rsidP="004F762A">
            <w:pPr>
              <w:jc w:val="both"/>
              <w:rPr>
                <w:rFonts w:ascii="Verdana" w:hAnsi="Verdana"/>
                <w:color w:val="FF0000"/>
                <w:sz w:val="20"/>
                <w:szCs w:val="20"/>
              </w:rPr>
            </w:pPr>
            <w:r>
              <w:rPr>
                <w:rFonts w:ascii="Verdana" w:hAnsi="Verdana"/>
                <w:sz w:val="20"/>
                <w:szCs w:val="20"/>
              </w:rPr>
              <w:t xml:space="preserve">Deductions of transport costs from staff will be regarded as a breach of contract. </w:t>
            </w:r>
          </w:p>
        </w:tc>
        <w:tc>
          <w:tcPr>
            <w:tcW w:w="1250" w:type="dxa"/>
          </w:tcPr>
          <w:p w:rsidR="004F762A" w:rsidRPr="00FC497C" w:rsidRDefault="004F762A" w:rsidP="004F762A">
            <w:pPr>
              <w:rPr>
                <w:rFonts w:ascii="Verdana" w:hAnsi="Verdana"/>
                <w:sz w:val="20"/>
                <w:szCs w:val="20"/>
              </w:rPr>
            </w:pPr>
            <w:r w:rsidRPr="00FC497C">
              <w:rPr>
                <w:rFonts w:ascii="Verdana" w:hAnsi="Verdana"/>
                <w:sz w:val="20"/>
                <w:szCs w:val="20"/>
              </w:rPr>
              <w:t>Comply</w:t>
            </w:r>
          </w:p>
        </w:tc>
        <w:tc>
          <w:tcPr>
            <w:tcW w:w="1424" w:type="dxa"/>
          </w:tcPr>
          <w:p w:rsidR="004F762A" w:rsidRPr="00FC497C" w:rsidRDefault="004F762A" w:rsidP="004F762A">
            <w:pPr>
              <w:rPr>
                <w:rFonts w:ascii="Verdana" w:hAnsi="Verdana"/>
                <w:sz w:val="20"/>
                <w:szCs w:val="20"/>
              </w:rPr>
            </w:pPr>
            <w:r w:rsidRPr="00FC497C">
              <w:rPr>
                <w:rFonts w:ascii="Verdana" w:hAnsi="Verdana"/>
                <w:sz w:val="20"/>
                <w:szCs w:val="20"/>
              </w:rPr>
              <w:t>Not Comply</w:t>
            </w:r>
          </w:p>
        </w:tc>
      </w:tr>
      <w:tr w:rsidR="004F762A" w:rsidTr="004F762A">
        <w:trPr>
          <w:cantSplit/>
        </w:trPr>
        <w:tc>
          <w:tcPr>
            <w:tcW w:w="6639" w:type="dxa"/>
            <w:vMerge/>
          </w:tcPr>
          <w:p w:rsidR="004F762A" w:rsidRDefault="004F762A" w:rsidP="004F762A">
            <w:pPr>
              <w:rPr>
                <w:rFonts w:ascii="Verdana" w:eastAsia="MS Mincho" w:hAnsi="Verdana"/>
                <w:sz w:val="20"/>
                <w:szCs w:val="20"/>
              </w:rPr>
            </w:pPr>
          </w:p>
        </w:tc>
        <w:tc>
          <w:tcPr>
            <w:tcW w:w="1250" w:type="dxa"/>
          </w:tcPr>
          <w:p w:rsidR="004F762A" w:rsidRDefault="004F762A" w:rsidP="004F762A">
            <w:pPr>
              <w:rPr>
                <w:rFonts w:ascii="Verdana" w:hAnsi="Verdana"/>
                <w:sz w:val="20"/>
                <w:szCs w:val="20"/>
              </w:rPr>
            </w:pPr>
          </w:p>
        </w:tc>
        <w:tc>
          <w:tcPr>
            <w:tcW w:w="1424" w:type="dxa"/>
          </w:tcPr>
          <w:p w:rsidR="004F762A" w:rsidRDefault="004F762A" w:rsidP="004F762A">
            <w:pPr>
              <w:rPr>
                <w:rFonts w:ascii="Verdana" w:hAnsi="Verdana"/>
                <w:sz w:val="20"/>
                <w:szCs w:val="20"/>
              </w:rPr>
            </w:pPr>
          </w:p>
        </w:tc>
      </w:tr>
      <w:tr w:rsidR="004F762A" w:rsidTr="004F762A">
        <w:trPr>
          <w:cantSplit/>
        </w:trPr>
        <w:tc>
          <w:tcPr>
            <w:tcW w:w="9313" w:type="dxa"/>
            <w:gridSpan w:val="3"/>
          </w:tcPr>
          <w:p w:rsidR="004F762A" w:rsidRDefault="004F762A" w:rsidP="00533FAA">
            <w:pPr>
              <w:tabs>
                <w:tab w:val="center" w:pos="4548"/>
              </w:tabs>
              <w:rPr>
                <w:rFonts w:ascii="Verdana" w:hAnsi="Verdana"/>
                <w:sz w:val="20"/>
                <w:szCs w:val="20"/>
                <w:u w:val="single"/>
              </w:rPr>
            </w:pPr>
            <w:r w:rsidRPr="004F49CC">
              <w:rPr>
                <w:rFonts w:ascii="Verdana" w:hAnsi="Verdana"/>
                <w:b/>
                <w:sz w:val="20"/>
                <w:szCs w:val="20"/>
              </w:rPr>
              <w:t>Substantiate</w:t>
            </w:r>
            <w:r>
              <w:rPr>
                <w:rFonts w:ascii="Verdana" w:hAnsi="Verdana"/>
                <w:b/>
                <w:sz w:val="20"/>
                <w:szCs w:val="20"/>
              </w:rPr>
              <w:t>:</w:t>
            </w:r>
            <w:r>
              <w:rPr>
                <w:rFonts w:ascii="Verdana" w:hAnsi="Verdana"/>
                <w:sz w:val="20"/>
                <w:szCs w:val="20"/>
              </w:rPr>
              <w:t xml:space="preserve"> The vehicle list and type of vehicle must be attached to the tender document</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tc>
      </w:tr>
    </w:tbl>
    <w:p w:rsidR="00533FAA" w:rsidRDefault="00533FAA" w:rsidP="004F762A">
      <w:pPr>
        <w:rPr>
          <w:rFonts w:ascii="Verdana" w:hAnsi="Verdana"/>
          <w:sz w:val="20"/>
          <w:szCs w:val="20"/>
        </w:rPr>
      </w:pPr>
    </w:p>
    <w:p w:rsidR="00533FAA" w:rsidRDefault="00533FAA">
      <w:pPr>
        <w:rPr>
          <w:rFonts w:ascii="Verdana" w:hAnsi="Verdana"/>
          <w:sz w:val="20"/>
          <w:szCs w:val="20"/>
        </w:rPr>
      </w:pPr>
      <w:r>
        <w:rPr>
          <w:rFonts w:ascii="Verdana" w:hAnsi="Verdana"/>
          <w:sz w:val="20"/>
          <w:szCs w:val="20"/>
        </w:rPr>
        <w:br w:type="page"/>
      </w:r>
    </w:p>
    <w:p w:rsidR="004F762A" w:rsidRDefault="004F762A" w:rsidP="004F762A">
      <w:pPr>
        <w:rPr>
          <w:rFonts w:ascii="Verdana" w:hAnsi="Verdana"/>
          <w:sz w:val="20"/>
          <w:szCs w:val="20"/>
        </w:rPr>
      </w:pPr>
    </w:p>
    <w:p w:rsidR="004F762A" w:rsidRDefault="008A3582" w:rsidP="004F762A">
      <w:pPr>
        <w:pStyle w:val="Heading2"/>
        <w:numPr>
          <w:ilvl w:val="0"/>
          <w:numId w:val="0"/>
        </w:numPr>
        <w:ind w:left="595" w:hanging="55"/>
      </w:pPr>
      <w:bookmarkStart w:id="53" w:name="_Toc347471341"/>
      <w:r>
        <w:t>2.9</w:t>
      </w:r>
      <w:r w:rsidR="004F762A">
        <w:t xml:space="preserve">     </w:t>
      </w:r>
      <w:r w:rsidR="004F762A" w:rsidRPr="00406435">
        <w:t>MANDATORY</w:t>
      </w:r>
      <w:bookmarkEnd w:id="5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Default="004F762A" w:rsidP="004F762A">
            <w:pPr>
              <w:rPr>
                <w:rFonts w:ascii="Verdana" w:hAnsi="Verdana"/>
                <w:sz w:val="20"/>
                <w:szCs w:val="20"/>
                <w:lang w:val="en-GB"/>
              </w:rPr>
            </w:pPr>
          </w:p>
          <w:p w:rsidR="004F762A" w:rsidRPr="00492404" w:rsidRDefault="004F762A" w:rsidP="00B956F1">
            <w:pPr>
              <w:rPr>
                <w:rFonts w:ascii="Verdana" w:hAnsi="Verdana"/>
                <w:sz w:val="20"/>
                <w:szCs w:val="20"/>
              </w:rPr>
            </w:pPr>
            <w:r>
              <w:rPr>
                <w:rFonts w:ascii="Verdana" w:hAnsi="Verdana"/>
                <w:sz w:val="20"/>
                <w:szCs w:val="20"/>
                <w:lang w:val="en-GB"/>
              </w:rPr>
              <w:t>P</w:t>
            </w:r>
            <w:r w:rsidRPr="00847D6E">
              <w:rPr>
                <w:rFonts w:ascii="Verdana" w:hAnsi="Verdana"/>
                <w:sz w:val="20"/>
                <w:szCs w:val="20"/>
                <w:lang w:val="en-GB"/>
              </w:rPr>
              <w:t>ersonnel prov</w:t>
            </w:r>
            <w:r w:rsidR="00DD2AEE">
              <w:rPr>
                <w:rFonts w:ascii="Verdana" w:hAnsi="Verdana"/>
                <w:sz w:val="20"/>
                <w:szCs w:val="20"/>
                <w:lang w:val="en-GB"/>
              </w:rPr>
              <w:t>ided by the Contractor for the NHLS</w:t>
            </w:r>
            <w:r w:rsidRPr="00847D6E">
              <w:rPr>
                <w:rFonts w:ascii="Verdana" w:hAnsi="Verdana"/>
                <w:sz w:val="20"/>
                <w:szCs w:val="20"/>
                <w:lang w:val="en-GB"/>
              </w:rPr>
              <w:t xml:space="preserve">, must have undergone, and passed a Grade </w:t>
            </w:r>
            <w:r w:rsidR="00096AC9">
              <w:rPr>
                <w:rFonts w:ascii="Verdana" w:hAnsi="Verdana"/>
                <w:sz w:val="20"/>
                <w:szCs w:val="20"/>
                <w:lang w:val="en-GB"/>
              </w:rPr>
              <w:t>D</w:t>
            </w:r>
            <w:r w:rsidRPr="00847D6E">
              <w:rPr>
                <w:rFonts w:ascii="Verdana" w:hAnsi="Verdana"/>
                <w:sz w:val="20"/>
                <w:szCs w:val="20"/>
                <w:lang w:val="en-GB"/>
              </w:rPr>
              <w:t xml:space="preserve"> security training course as prescribed by the PSIRA (Act 56 0F 2001)</w:t>
            </w:r>
            <w:r w:rsidR="00B956F1">
              <w:rPr>
                <w:rFonts w:ascii="Verdana" w:hAnsi="Verdana"/>
                <w:sz w:val="20"/>
                <w:szCs w:val="20"/>
                <w:lang w:val="en-GB"/>
              </w:rPr>
              <w:t>. Supervisors should</w:t>
            </w:r>
            <w:r w:rsidR="00096AC9">
              <w:rPr>
                <w:rFonts w:ascii="Verdana" w:hAnsi="Verdana"/>
                <w:sz w:val="20"/>
                <w:szCs w:val="20"/>
                <w:lang w:val="en-GB"/>
              </w:rPr>
              <w:t xml:space="preserve"> </w:t>
            </w:r>
            <w:r>
              <w:rPr>
                <w:rFonts w:ascii="Verdana" w:hAnsi="Verdana"/>
                <w:sz w:val="20"/>
                <w:szCs w:val="20"/>
                <w:lang w:val="en-GB"/>
              </w:rPr>
              <w:t xml:space="preserve">have a Grade A certificate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B956F1" w:rsidP="004F762A">
      <w:pPr>
        <w:pStyle w:val="Heading2"/>
        <w:numPr>
          <w:ilvl w:val="0"/>
          <w:numId w:val="0"/>
        </w:numPr>
        <w:ind w:left="595" w:hanging="55"/>
      </w:pPr>
      <w:bookmarkStart w:id="54" w:name="_Toc347471342"/>
      <w:r>
        <w:t>2.1</w:t>
      </w:r>
      <w:r w:rsidR="008A3582">
        <w:t>0</w:t>
      </w:r>
      <w:r w:rsidR="004F762A">
        <w:t xml:space="preserve">    </w:t>
      </w:r>
      <w:r w:rsidR="004F762A" w:rsidRPr="00406435">
        <w:t>MANDATORY</w:t>
      </w:r>
      <w:bookmarkEnd w:id="5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Pr="00BF1D7E" w:rsidRDefault="004F762A" w:rsidP="004F762A">
            <w:pPr>
              <w:rPr>
                <w:rFonts w:ascii="Verdana" w:hAnsi="Verdana"/>
                <w:bCs/>
                <w:sz w:val="20"/>
                <w:szCs w:val="20"/>
                <w:lang w:val="en-GB"/>
              </w:rPr>
            </w:pPr>
            <w:r w:rsidRPr="00BF1D7E">
              <w:rPr>
                <w:rFonts w:ascii="Verdana" w:hAnsi="Verdana"/>
                <w:bCs/>
                <w:sz w:val="20"/>
                <w:szCs w:val="20"/>
                <w:lang w:val="en-GB"/>
              </w:rPr>
              <w:t xml:space="preserve">Persistent late comings and short postings may lead to cancellation of the contract. Should the employees go on strike as a result of negligence on the part of the </w:t>
            </w:r>
            <w:r>
              <w:rPr>
                <w:rFonts w:ascii="Verdana" w:hAnsi="Verdana"/>
                <w:bCs/>
                <w:sz w:val="20"/>
                <w:szCs w:val="20"/>
                <w:lang w:val="en-GB"/>
              </w:rPr>
              <w:t>vendor</w:t>
            </w:r>
            <w:r w:rsidR="00DD2AEE">
              <w:rPr>
                <w:rFonts w:ascii="Verdana" w:hAnsi="Verdana"/>
                <w:bCs/>
                <w:sz w:val="20"/>
                <w:szCs w:val="20"/>
                <w:lang w:val="en-GB"/>
              </w:rPr>
              <w:t xml:space="preserve">, NHLS </w:t>
            </w:r>
            <w:r w:rsidRPr="00BF1D7E">
              <w:rPr>
                <w:rFonts w:ascii="Verdana" w:hAnsi="Verdana"/>
                <w:bCs/>
                <w:sz w:val="20"/>
                <w:szCs w:val="20"/>
                <w:lang w:val="en-GB"/>
              </w:rPr>
              <w:t xml:space="preserve">has the right to terminate the contract. </w:t>
            </w:r>
          </w:p>
          <w:p w:rsidR="004F762A" w:rsidRDefault="004F762A" w:rsidP="004F762A">
            <w:pPr>
              <w:rPr>
                <w:rFonts w:ascii="Verdana" w:hAnsi="Verdana"/>
                <w:sz w:val="20"/>
                <w:szCs w:val="20"/>
              </w:rPr>
            </w:pP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p>
    <w:p w:rsidR="004F762A" w:rsidRDefault="004F762A" w:rsidP="004F762A">
      <w:pPr>
        <w:pStyle w:val="Heading2"/>
        <w:numPr>
          <w:ilvl w:val="0"/>
          <w:numId w:val="0"/>
        </w:numPr>
        <w:ind w:left="595" w:hanging="55"/>
      </w:pPr>
      <w:bookmarkStart w:id="55" w:name="_Toc347471343"/>
      <w:r>
        <w:t>2.1</w:t>
      </w:r>
      <w:r w:rsidR="008A3582">
        <w:t>1</w:t>
      </w:r>
      <w:r>
        <w:t xml:space="preserve">    </w:t>
      </w:r>
      <w:r w:rsidRPr="00406435">
        <w:t>MANDATORY</w:t>
      </w:r>
      <w:bookmarkEnd w:id="5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062264" w:rsidTr="00881134">
        <w:trPr>
          <w:cantSplit/>
          <w:trHeight w:val="343"/>
        </w:trPr>
        <w:tc>
          <w:tcPr>
            <w:tcW w:w="6642" w:type="dxa"/>
            <w:vMerge w:val="restart"/>
          </w:tcPr>
          <w:p w:rsidR="004F762A" w:rsidRPr="00062264" w:rsidRDefault="004F762A" w:rsidP="00E858EF">
            <w:pPr>
              <w:rPr>
                <w:rFonts w:ascii="Verdana" w:hAnsi="Verdana"/>
                <w:sz w:val="20"/>
                <w:szCs w:val="20"/>
              </w:rPr>
            </w:pPr>
            <w:r>
              <w:rPr>
                <w:rFonts w:ascii="Verdana" w:hAnsi="Verdana"/>
                <w:sz w:val="20"/>
                <w:szCs w:val="20"/>
                <w:lang w:val="en-GB"/>
              </w:rPr>
              <w:t xml:space="preserve">The vendor </w:t>
            </w:r>
            <w:r w:rsidRPr="00F127DA">
              <w:rPr>
                <w:rFonts w:ascii="Verdana" w:hAnsi="Verdana"/>
                <w:sz w:val="20"/>
                <w:szCs w:val="20"/>
                <w:lang w:val="en-GB"/>
              </w:rPr>
              <w:t xml:space="preserve">must undertake to provide a certain and reasonable number of </w:t>
            </w:r>
            <w:r>
              <w:rPr>
                <w:rFonts w:ascii="Verdana" w:hAnsi="Verdana"/>
                <w:sz w:val="20"/>
                <w:szCs w:val="20"/>
                <w:lang w:val="en-GB"/>
              </w:rPr>
              <w:t xml:space="preserve">ad hoc </w:t>
            </w:r>
            <w:r w:rsidRPr="00F127DA">
              <w:rPr>
                <w:rFonts w:ascii="Verdana" w:hAnsi="Verdana"/>
                <w:sz w:val="20"/>
                <w:szCs w:val="20"/>
                <w:lang w:val="en-GB"/>
              </w:rPr>
              <w:t>additional staff as requested for the rendering of the service at the sites during crisis situations or when staff allocated to a site do not report for duty. The officers should also be security cle</w:t>
            </w:r>
            <w:r w:rsidR="00DD2AEE">
              <w:rPr>
                <w:rFonts w:ascii="Verdana" w:hAnsi="Verdana"/>
                <w:sz w:val="20"/>
                <w:szCs w:val="20"/>
                <w:lang w:val="en-GB"/>
              </w:rPr>
              <w:t xml:space="preserve">ared prior to deployment at NHLS sites. </w:t>
            </w:r>
          </w:p>
        </w:tc>
        <w:tc>
          <w:tcPr>
            <w:tcW w:w="1249" w:type="dxa"/>
          </w:tcPr>
          <w:p w:rsidR="004F762A" w:rsidRPr="00062264" w:rsidRDefault="004F762A" w:rsidP="004F762A">
            <w:pPr>
              <w:rPr>
                <w:rFonts w:ascii="Verdana" w:hAnsi="Verdana"/>
                <w:sz w:val="20"/>
                <w:szCs w:val="20"/>
              </w:rPr>
            </w:pPr>
            <w:r w:rsidRPr="00062264">
              <w:rPr>
                <w:rFonts w:ascii="Verdana" w:hAnsi="Verdana"/>
                <w:sz w:val="20"/>
                <w:szCs w:val="20"/>
              </w:rPr>
              <w:t>Comply</w:t>
            </w:r>
          </w:p>
        </w:tc>
        <w:tc>
          <w:tcPr>
            <w:tcW w:w="1422" w:type="dxa"/>
          </w:tcPr>
          <w:p w:rsidR="004F762A" w:rsidRPr="00062264" w:rsidRDefault="004F762A" w:rsidP="004F762A">
            <w:pPr>
              <w:rPr>
                <w:rFonts w:ascii="Verdana" w:hAnsi="Verdana"/>
                <w:sz w:val="20"/>
                <w:szCs w:val="20"/>
              </w:rPr>
            </w:pPr>
            <w:r w:rsidRPr="00062264">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56" w:name="_Toc347471344"/>
      <w:r>
        <w:t>2.1</w:t>
      </w:r>
      <w:r w:rsidR="008A3582">
        <w:t>2</w:t>
      </w:r>
      <w:r w:rsidR="004F762A">
        <w:t xml:space="preserve">    </w:t>
      </w:r>
      <w:r w:rsidR="004F762A" w:rsidRPr="00406435">
        <w:t>MANDATORY</w:t>
      </w:r>
      <w:bookmarkEnd w:id="5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6"/>
        <w:gridCol w:w="1231"/>
        <w:gridCol w:w="1392"/>
      </w:tblGrid>
      <w:tr w:rsidR="004F762A" w:rsidTr="004F762A">
        <w:trPr>
          <w:cantSplit/>
        </w:trPr>
        <w:tc>
          <w:tcPr>
            <w:tcW w:w="6642" w:type="dxa"/>
            <w:vMerge w:val="restart"/>
          </w:tcPr>
          <w:p w:rsidR="004F762A" w:rsidRDefault="004F762A" w:rsidP="004F762A">
            <w:pPr>
              <w:rPr>
                <w:rFonts w:ascii="Verdana" w:hAnsi="Verdana"/>
                <w:sz w:val="20"/>
                <w:szCs w:val="20"/>
              </w:rPr>
            </w:pPr>
            <w:r w:rsidRPr="00FC2462">
              <w:rPr>
                <w:rFonts w:ascii="Verdana" w:hAnsi="Verdana"/>
                <w:sz w:val="20"/>
                <w:szCs w:val="20"/>
                <w:lang w:val="en-GB"/>
              </w:rPr>
              <w:t>Security Officers must be schooled to at least Grade 10 (Standard Eight) level and must be able to read, write and communicate in English</w:t>
            </w:r>
          </w:p>
          <w:p w:rsidR="004F762A" w:rsidRPr="00FC2462" w:rsidRDefault="004F762A" w:rsidP="004F762A">
            <w:pPr>
              <w:rPr>
                <w:rFonts w:ascii="Verdana" w:hAnsi="Verdana"/>
                <w:sz w:val="20"/>
                <w:szCs w:val="20"/>
              </w:rPr>
            </w:pPr>
            <w:r w:rsidRPr="00FC2462">
              <w:rPr>
                <w:rFonts w:ascii="Verdana" w:hAnsi="Verdana"/>
                <w:sz w:val="20"/>
                <w:szCs w:val="20"/>
              </w:rPr>
              <w:t>The vendor must provide proof during the security clearance.</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rPr>
          <w:rFonts w:ascii="Verdana" w:hAnsi="Verdana"/>
          <w:sz w:val="20"/>
          <w:szCs w:val="20"/>
        </w:rPr>
      </w:pPr>
    </w:p>
    <w:p w:rsidR="004F762A" w:rsidRPr="003B7844" w:rsidRDefault="004F762A" w:rsidP="004F762A">
      <w:pPr>
        <w:pStyle w:val="Heading2"/>
        <w:numPr>
          <w:ilvl w:val="0"/>
          <w:numId w:val="0"/>
        </w:numPr>
        <w:ind w:left="595" w:hanging="55"/>
      </w:pPr>
      <w:bookmarkStart w:id="57" w:name="_Toc347471345"/>
      <w:r>
        <w:t>2.1</w:t>
      </w:r>
      <w:r w:rsidR="008A3582">
        <w:t>3</w:t>
      </w:r>
      <w:r>
        <w:t xml:space="preserve">     </w:t>
      </w:r>
      <w:r w:rsidRPr="003B7844">
        <w:t>MANDATORY</w:t>
      </w:r>
      <w:bookmarkEnd w:id="57"/>
    </w:p>
    <w:tbl>
      <w:tblPr>
        <w:tblW w:w="0" w:type="auto"/>
        <w:tblInd w:w="648" w:type="dxa"/>
        <w:tblCellMar>
          <w:left w:w="0" w:type="dxa"/>
          <w:right w:w="0" w:type="dxa"/>
        </w:tblCellMar>
        <w:tblLook w:val="0000"/>
      </w:tblPr>
      <w:tblGrid>
        <w:gridCol w:w="6307"/>
        <w:gridCol w:w="1230"/>
        <w:gridCol w:w="1392"/>
      </w:tblGrid>
      <w:tr w:rsidR="004F762A" w:rsidRPr="00D55D7F" w:rsidTr="004F762A">
        <w:trPr>
          <w:cantSplit/>
        </w:trPr>
        <w:tc>
          <w:tcPr>
            <w:tcW w:w="66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3F4BE0">
              <w:rPr>
                <w:rFonts w:ascii="Verdana" w:hAnsi="Verdana"/>
                <w:sz w:val="20"/>
                <w:szCs w:val="20"/>
                <w:lang w:val="en-GB"/>
              </w:rPr>
              <w:t>The</w:t>
            </w:r>
            <w:r>
              <w:rPr>
                <w:rFonts w:ascii="Verdana" w:hAnsi="Verdana"/>
                <w:sz w:val="20"/>
                <w:szCs w:val="20"/>
                <w:lang w:val="en-GB"/>
              </w:rPr>
              <w:t xml:space="preserve"> security officers </w:t>
            </w:r>
            <w:r w:rsidRPr="003F4BE0">
              <w:rPr>
                <w:rFonts w:ascii="Verdana" w:hAnsi="Verdana"/>
                <w:sz w:val="20"/>
                <w:szCs w:val="20"/>
                <w:lang w:val="en-GB"/>
              </w:rPr>
              <w:t>must at all times present a professional</w:t>
            </w:r>
            <w:r>
              <w:rPr>
                <w:rFonts w:ascii="Verdana" w:hAnsi="Verdana"/>
                <w:sz w:val="20"/>
                <w:szCs w:val="20"/>
                <w:lang w:val="en-GB"/>
              </w:rPr>
              <w:t xml:space="preserve"> attitude, show dedication and pleasant approach to staff and visitors. The</w:t>
            </w:r>
            <w:r w:rsidRPr="003F4BE0">
              <w:rPr>
                <w:rFonts w:ascii="Verdana" w:hAnsi="Verdana"/>
                <w:sz w:val="20"/>
                <w:szCs w:val="20"/>
                <w:lang w:val="en-GB"/>
              </w:rPr>
              <w:t xml:space="preserve"> attitude /approach shall imply, </w:t>
            </w:r>
            <w:r w:rsidRPr="003F4BE0">
              <w:rPr>
                <w:rFonts w:ascii="Verdana" w:hAnsi="Verdana"/>
                <w:sz w:val="20"/>
                <w:szCs w:val="20"/>
                <w:u w:val="single"/>
                <w:lang w:val="en-GB"/>
              </w:rPr>
              <w:t>inter alia</w:t>
            </w:r>
            <w:r w:rsidRPr="003F4BE0">
              <w:rPr>
                <w:rFonts w:ascii="Verdana" w:hAnsi="Verdana"/>
                <w:sz w:val="20"/>
                <w:szCs w:val="20"/>
                <w:lang w:val="en-GB"/>
              </w:rPr>
              <w:t>, that there shall be no unnecessary arguments with visitors/staff or discourteous behaviour towards them;</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Pr="003B7844" w:rsidRDefault="008A3582" w:rsidP="004F762A">
      <w:pPr>
        <w:pStyle w:val="Heading2"/>
        <w:numPr>
          <w:ilvl w:val="0"/>
          <w:numId w:val="0"/>
        </w:numPr>
        <w:ind w:left="595" w:hanging="55"/>
      </w:pPr>
      <w:bookmarkStart w:id="58" w:name="_Toc347471346"/>
      <w:r>
        <w:t>2.14</w:t>
      </w:r>
      <w:r w:rsidR="004F762A">
        <w:t xml:space="preserve">   </w:t>
      </w:r>
      <w:r w:rsidR="004F762A" w:rsidRPr="003B7844">
        <w:t>MANDATORY</w:t>
      </w:r>
      <w:bookmarkEnd w:id="58"/>
    </w:p>
    <w:tbl>
      <w:tblPr>
        <w:tblW w:w="0" w:type="auto"/>
        <w:tblInd w:w="648" w:type="dxa"/>
        <w:tblCellMar>
          <w:left w:w="0" w:type="dxa"/>
          <w:right w:w="0" w:type="dxa"/>
        </w:tblCellMar>
        <w:tblLook w:val="0000"/>
      </w:tblPr>
      <w:tblGrid>
        <w:gridCol w:w="6301"/>
        <w:gridCol w:w="1233"/>
        <w:gridCol w:w="1395"/>
      </w:tblGrid>
      <w:tr w:rsidR="004F762A" w:rsidRPr="00D55D7F" w:rsidTr="004F762A">
        <w:trPr>
          <w:cantSplit/>
        </w:trPr>
        <w:tc>
          <w:tcPr>
            <w:tcW w:w="66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3F4BE0">
              <w:rPr>
                <w:rFonts w:ascii="Verdana" w:hAnsi="Verdana"/>
                <w:sz w:val="20"/>
                <w:szCs w:val="20"/>
                <w:lang w:val="en-GB"/>
              </w:rPr>
              <w:t>The Security Officers must be physically healthy and medically fit for the execution of their duties;</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59" w:name="_Toc347471347"/>
      <w:r>
        <w:t>2.1</w:t>
      </w:r>
      <w:r w:rsidR="008A3582">
        <w:t>5</w:t>
      </w:r>
      <w:r w:rsidR="004F762A">
        <w:t xml:space="preserve">    </w:t>
      </w:r>
      <w:r w:rsidR="004F762A" w:rsidRPr="00406435">
        <w:t>MANDATORY</w:t>
      </w:r>
      <w:bookmarkEnd w:id="59"/>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Pr="005D06C2" w:rsidRDefault="004F762A" w:rsidP="004F762A">
            <w:pPr>
              <w:jc w:val="both"/>
              <w:rPr>
                <w:rFonts w:ascii="Verdana" w:hAnsi="Verdana"/>
                <w:sz w:val="20"/>
                <w:szCs w:val="20"/>
              </w:rPr>
            </w:pPr>
            <w:r w:rsidRPr="003F4BE0">
              <w:rPr>
                <w:rFonts w:ascii="Verdana" w:hAnsi="Verdana"/>
                <w:sz w:val="20"/>
                <w:szCs w:val="20"/>
                <w:lang w:val="en-GB"/>
              </w:rPr>
              <w:t>The Company must ensure that they and the Security Officers individually sign an undertaking in which they declare that they will refrain from any action which m</w:t>
            </w:r>
            <w:r w:rsidR="00DD2AEE">
              <w:rPr>
                <w:rFonts w:ascii="Verdana" w:hAnsi="Verdana"/>
                <w:sz w:val="20"/>
                <w:szCs w:val="20"/>
                <w:lang w:val="en-GB"/>
              </w:rPr>
              <w:t>ight be to the detriment of NHLS</w:t>
            </w:r>
            <w:r w:rsidRPr="003F4BE0">
              <w:rPr>
                <w:rFonts w:ascii="Verdana" w:hAnsi="Verdana"/>
                <w:sz w:val="20"/>
                <w:szCs w:val="20"/>
                <w:lang w:val="en-GB"/>
              </w:rPr>
              <w:t>.</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60" w:name="_Toc347471348"/>
      <w:r>
        <w:t>2.1</w:t>
      </w:r>
      <w:r w:rsidR="008A3582">
        <w:t>6</w:t>
      </w:r>
      <w:r w:rsidR="004F762A">
        <w:t xml:space="preserve">     </w:t>
      </w:r>
      <w:r w:rsidR="004F762A" w:rsidRPr="00406435">
        <w:t>MANDATORY</w:t>
      </w:r>
      <w:bookmarkEnd w:id="6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RPr="005D06C2" w:rsidTr="004F762A">
        <w:trPr>
          <w:cantSplit/>
        </w:trPr>
        <w:tc>
          <w:tcPr>
            <w:tcW w:w="6641" w:type="dxa"/>
            <w:vMerge w:val="restart"/>
          </w:tcPr>
          <w:p w:rsidR="004F762A" w:rsidRPr="005D06C2" w:rsidRDefault="004F762A" w:rsidP="004F762A">
            <w:pPr>
              <w:jc w:val="both"/>
              <w:rPr>
                <w:rFonts w:ascii="Verdana" w:hAnsi="Verdana"/>
                <w:sz w:val="20"/>
                <w:szCs w:val="20"/>
              </w:rPr>
            </w:pPr>
            <w:r w:rsidRPr="003F4BE0">
              <w:rPr>
                <w:rFonts w:ascii="Verdana" w:hAnsi="Verdana"/>
                <w:sz w:val="20"/>
                <w:szCs w:val="20"/>
                <w:lang w:val="en-GB"/>
              </w:rPr>
              <w:t>Security Officers are prohibited from reading documents or records in offices or unnecessary handling thereof;</w:t>
            </w:r>
          </w:p>
        </w:tc>
        <w:tc>
          <w:tcPr>
            <w:tcW w:w="1249" w:type="dxa"/>
          </w:tcPr>
          <w:p w:rsidR="004F762A" w:rsidRPr="005D06C2" w:rsidRDefault="004F762A" w:rsidP="004F762A">
            <w:pPr>
              <w:rPr>
                <w:rFonts w:ascii="Verdana" w:hAnsi="Verdana"/>
                <w:sz w:val="20"/>
                <w:szCs w:val="20"/>
              </w:rPr>
            </w:pPr>
            <w:r w:rsidRPr="005D06C2">
              <w:rPr>
                <w:rFonts w:ascii="Verdana" w:hAnsi="Verdana"/>
                <w:sz w:val="20"/>
                <w:szCs w:val="20"/>
              </w:rPr>
              <w:t>Comply</w:t>
            </w:r>
          </w:p>
        </w:tc>
        <w:tc>
          <w:tcPr>
            <w:tcW w:w="1423" w:type="dxa"/>
          </w:tcPr>
          <w:p w:rsidR="004F762A" w:rsidRPr="005D06C2" w:rsidRDefault="004F762A" w:rsidP="004F762A">
            <w:pPr>
              <w:rPr>
                <w:rFonts w:ascii="Verdana" w:hAnsi="Verdana"/>
                <w:sz w:val="20"/>
                <w:szCs w:val="20"/>
              </w:rPr>
            </w:pPr>
            <w:r w:rsidRPr="005D06C2">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61" w:name="_Toc347471349"/>
      <w:r>
        <w:t>2.1</w:t>
      </w:r>
      <w:r w:rsidR="008A3582">
        <w:t>7</w:t>
      </w:r>
      <w:r w:rsidR="004F762A">
        <w:t xml:space="preserve">     </w:t>
      </w:r>
      <w:r w:rsidR="004F762A" w:rsidRPr="00406435">
        <w:t>MANDATORY</w:t>
      </w:r>
      <w:bookmarkEnd w:id="61"/>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Default="00DD2AEE" w:rsidP="004F762A">
            <w:pPr>
              <w:jc w:val="both"/>
              <w:rPr>
                <w:rFonts w:ascii="Verdana" w:hAnsi="Verdana"/>
                <w:sz w:val="20"/>
                <w:szCs w:val="20"/>
              </w:rPr>
            </w:pPr>
            <w:r>
              <w:rPr>
                <w:rFonts w:ascii="Verdana" w:hAnsi="Verdana"/>
                <w:sz w:val="20"/>
                <w:szCs w:val="20"/>
                <w:lang w:val="en-GB"/>
              </w:rPr>
              <w:t>No information concerning NHLS</w:t>
            </w:r>
            <w:r w:rsidR="004F762A" w:rsidRPr="003F4BE0">
              <w:rPr>
                <w:rFonts w:ascii="Verdana" w:hAnsi="Verdana"/>
                <w:sz w:val="20"/>
                <w:szCs w:val="20"/>
                <w:lang w:val="en-GB"/>
              </w:rPr>
              <w:t xml:space="preserve"> activities may be furnished to the public or news media by the Contractor and its employees;</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Pr="00E34E67" w:rsidRDefault="004F762A" w:rsidP="004F762A"/>
    <w:p w:rsidR="004F762A" w:rsidRDefault="008A3582" w:rsidP="004F762A">
      <w:pPr>
        <w:pStyle w:val="Heading2"/>
        <w:numPr>
          <w:ilvl w:val="0"/>
          <w:numId w:val="0"/>
        </w:numPr>
        <w:ind w:left="595" w:hanging="55"/>
      </w:pPr>
      <w:bookmarkStart w:id="62" w:name="_Toc347471350"/>
      <w:r>
        <w:t>2.18</w:t>
      </w:r>
      <w:r w:rsidR="004F762A">
        <w:t xml:space="preserve">    </w:t>
      </w:r>
      <w:r w:rsidR="004F762A" w:rsidRPr="00406435">
        <w:t>MANDATORY</w:t>
      </w:r>
      <w:bookmarkEnd w:id="62"/>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0"/>
        <w:gridCol w:w="1229"/>
        <w:gridCol w:w="1390"/>
      </w:tblGrid>
      <w:tr w:rsidR="004F762A" w:rsidTr="004F762A">
        <w:trPr>
          <w:cantSplit/>
        </w:trPr>
        <w:tc>
          <w:tcPr>
            <w:tcW w:w="6642" w:type="dxa"/>
            <w:vMerge w:val="restart"/>
          </w:tcPr>
          <w:p w:rsidR="004F762A" w:rsidRDefault="004F762A" w:rsidP="004F762A">
            <w:pPr>
              <w:rPr>
                <w:rFonts w:ascii="Verdana" w:hAnsi="Verdana"/>
                <w:sz w:val="20"/>
                <w:szCs w:val="20"/>
                <w:lang w:val="en-GB"/>
              </w:rPr>
            </w:pPr>
            <w:r w:rsidRPr="005A7BD8">
              <w:rPr>
                <w:rFonts w:ascii="Verdana" w:hAnsi="Verdana"/>
                <w:sz w:val="20"/>
                <w:szCs w:val="20"/>
                <w:lang w:val="en-GB"/>
              </w:rPr>
              <w:t>The Contractor undertakes to ensure that all security personnel, will at all times when on duty, be fully equipped in respect of:</w:t>
            </w:r>
          </w:p>
          <w:p w:rsidR="004F762A" w:rsidRPr="005A7BD8" w:rsidRDefault="004F762A" w:rsidP="004F762A">
            <w:pPr>
              <w:rPr>
                <w:rFonts w:ascii="Verdana" w:hAnsi="Verdana"/>
                <w:sz w:val="20"/>
                <w:szCs w:val="20"/>
                <w:lang w:val="en-GB"/>
              </w:rPr>
            </w:pPr>
          </w:p>
          <w:p w:rsidR="004F762A" w:rsidRDefault="004F762A" w:rsidP="00682B39">
            <w:pPr>
              <w:numPr>
                <w:ilvl w:val="0"/>
                <w:numId w:val="49"/>
              </w:numPr>
              <w:rPr>
                <w:rFonts w:ascii="Verdana" w:hAnsi="Verdana"/>
                <w:sz w:val="20"/>
                <w:szCs w:val="20"/>
                <w:lang w:val="en-GB"/>
              </w:rPr>
            </w:pPr>
            <w:r w:rsidRPr="005A7BD8">
              <w:rPr>
                <w:rFonts w:ascii="Verdana" w:hAnsi="Verdana"/>
                <w:sz w:val="20"/>
                <w:szCs w:val="20"/>
                <w:lang w:val="en-GB"/>
              </w:rPr>
              <w:t>A complete office uniform (no military style), neat and clearly identifiable of the company, which uniform will include matching raincoats and overcoats.</w:t>
            </w:r>
          </w:p>
          <w:p w:rsidR="004F762A" w:rsidRDefault="004F762A" w:rsidP="00682B39">
            <w:pPr>
              <w:numPr>
                <w:ilvl w:val="0"/>
                <w:numId w:val="49"/>
              </w:numPr>
              <w:rPr>
                <w:rFonts w:ascii="Verdana" w:hAnsi="Verdana"/>
                <w:bCs/>
                <w:sz w:val="20"/>
                <w:szCs w:val="20"/>
                <w:lang w:val="en-GB"/>
              </w:rPr>
            </w:pPr>
            <w:r w:rsidRPr="005A7BD8">
              <w:rPr>
                <w:rFonts w:ascii="Verdana" w:hAnsi="Verdana"/>
                <w:bCs/>
                <w:sz w:val="20"/>
                <w:szCs w:val="20"/>
                <w:lang w:val="en-GB"/>
              </w:rPr>
              <w:t>A PSIR</w:t>
            </w:r>
            <w:r w:rsidR="00DD2AEE">
              <w:rPr>
                <w:rFonts w:ascii="Verdana" w:hAnsi="Verdana"/>
                <w:bCs/>
                <w:sz w:val="20"/>
                <w:szCs w:val="20"/>
                <w:lang w:val="en-GB"/>
              </w:rPr>
              <w:t>A identification card and a NHLS</w:t>
            </w:r>
            <w:r w:rsidRPr="005A7BD8">
              <w:rPr>
                <w:rFonts w:ascii="Verdana" w:hAnsi="Verdana"/>
                <w:bCs/>
                <w:sz w:val="20"/>
                <w:szCs w:val="20"/>
                <w:lang w:val="en-GB"/>
              </w:rPr>
              <w:t xml:space="preserve"> access card, worn conspicuously on his person at all times.</w:t>
            </w:r>
          </w:p>
          <w:p w:rsidR="004F762A" w:rsidRPr="005A7BD8" w:rsidRDefault="004F762A" w:rsidP="004F762A">
            <w:pPr>
              <w:ind w:left="720"/>
              <w:rPr>
                <w:rFonts w:ascii="Verdana" w:hAnsi="Verdana"/>
                <w:bCs/>
                <w:sz w:val="20"/>
                <w:szCs w:val="20"/>
                <w:lang w:val="en-GB"/>
              </w:rPr>
            </w:pPr>
          </w:p>
          <w:p w:rsidR="004F762A" w:rsidRDefault="004F762A" w:rsidP="004F762A">
            <w:pPr>
              <w:jc w:val="both"/>
              <w:rPr>
                <w:rFonts w:ascii="Verdana" w:hAnsi="Verdana"/>
                <w:sz w:val="20"/>
                <w:szCs w:val="20"/>
              </w:rPr>
            </w:pPr>
            <w:r w:rsidRPr="005A7BD8">
              <w:rPr>
                <w:rFonts w:ascii="Verdana" w:hAnsi="Verdana"/>
                <w:sz w:val="20"/>
                <w:szCs w:val="20"/>
                <w:u w:val="single"/>
                <w:lang w:val="en-GB"/>
              </w:rPr>
              <w:t>Alternatively</w:t>
            </w:r>
            <w:r w:rsidRPr="005A7BD8">
              <w:rPr>
                <w:rFonts w:ascii="Verdana" w:hAnsi="Verdana"/>
                <w:sz w:val="20"/>
                <w:szCs w:val="20"/>
                <w:lang w:val="en-GB"/>
              </w:rPr>
              <w:t>:</w:t>
            </w:r>
            <w:r w:rsidRPr="005A7BD8">
              <w:rPr>
                <w:rFonts w:ascii="Verdana" w:hAnsi="Verdana"/>
                <w:bCs/>
                <w:sz w:val="20"/>
                <w:szCs w:val="20"/>
                <w:lang w:val="en-GB"/>
              </w:rPr>
              <w:t xml:space="preserve"> A clear identification card of the company with the member's identity</w:t>
            </w:r>
            <w:r w:rsidRPr="005A7BD8">
              <w:rPr>
                <w:rFonts w:ascii="Verdana" w:hAnsi="Verdana"/>
                <w:bCs/>
                <w:sz w:val="20"/>
                <w:szCs w:val="20"/>
                <w:lang w:val="en-GB"/>
              </w:rPr>
              <w:noBreakHyphen/>
              <w:t xml:space="preserve"> and file numbers on it, accompanied by his official i</w:t>
            </w:r>
            <w:r w:rsidR="00DD2AEE">
              <w:rPr>
                <w:rFonts w:ascii="Verdana" w:hAnsi="Verdana"/>
                <w:bCs/>
                <w:sz w:val="20"/>
                <w:szCs w:val="20"/>
                <w:lang w:val="en-GB"/>
              </w:rPr>
              <w:t>dentity documents/PSIRA and NHLS</w:t>
            </w:r>
            <w:r w:rsidRPr="005A7BD8">
              <w:rPr>
                <w:rFonts w:ascii="Verdana" w:hAnsi="Verdana"/>
                <w:bCs/>
                <w:sz w:val="20"/>
                <w:szCs w:val="20"/>
                <w:lang w:val="en-GB"/>
              </w:rPr>
              <w:t xml:space="preserve"> access card, worn on his person at all times.</w:t>
            </w:r>
            <w:r>
              <w:rPr>
                <w:rFonts w:ascii="Verdana" w:hAnsi="Verdana"/>
                <w:bCs/>
                <w:sz w:val="20"/>
                <w:szCs w:val="20"/>
                <w:lang w:val="en-GB"/>
              </w:rPr>
              <w:t xml:space="preserv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Pr="00DE5B2C" w:rsidRDefault="008A3582" w:rsidP="004F762A">
      <w:pPr>
        <w:pStyle w:val="Heading2"/>
        <w:numPr>
          <w:ilvl w:val="0"/>
          <w:numId w:val="0"/>
        </w:numPr>
        <w:ind w:left="595" w:hanging="55"/>
      </w:pPr>
      <w:bookmarkStart w:id="63" w:name="_Toc347471351"/>
      <w:r>
        <w:t>2.19</w:t>
      </w:r>
      <w:r w:rsidR="004F762A">
        <w:t xml:space="preserve">     </w:t>
      </w:r>
      <w:r w:rsidR="004F762A" w:rsidRPr="00DE5B2C">
        <w:t>MANDATORY</w:t>
      </w:r>
      <w:bookmarkEnd w:id="6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1"/>
        <w:gridCol w:w="1232"/>
        <w:gridCol w:w="1395"/>
      </w:tblGrid>
      <w:tr w:rsidR="004F762A" w:rsidRPr="00DE5B2C" w:rsidTr="004F762A">
        <w:trPr>
          <w:cantSplit/>
        </w:trPr>
        <w:tc>
          <w:tcPr>
            <w:tcW w:w="6301" w:type="dxa"/>
            <w:vMerge w:val="restart"/>
          </w:tcPr>
          <w:p w:rsidR="004F762A" w:rsidRPr="00DE5B2C" w:rsidRDefault="004F762A" w:rsidP="004F762A">
            <w:pPr>
              <w:jc w:val="both"/>
              <w:rPr>
                <w:rFonts w:ascii="Verdana" w:hAnsi="Verdana"/>
                <w:sz w:val="20"/>
                <w:szCs w:val="20"/>
              </w:rPr>
            </w:pPr>
            <w:r w:rsidRPr="00E35DE4">
              <w:rPr>
                <w:rFonts w:ascii="Verdana" w:hAnsi="Verdana"/>
                <w:sz w:val="20"/>
                <w:szCs w:val="20"/>
                <w:lang w:val="en-GB"/>
              </w:rPr>
              <w:t>Service aids (to be worn on the person at all times during guard duty) such as:</w:t>
            </w:r>
          </w:p>
        </w:tc>
        <w:tc>
          <w:tcPr>
            <w:tcW w:w="1232" w:type="dxa"/>
          </w:tcPr>
          <w:p w:rsidR="004F762A" w:rsidRPr="00DE5B2C" w:rsidRDefault="004F762A" w:rsidP="004F762A">
            <w:pPr>
              <w:rPr>
                <w:rFonts w:ascii="Verdana" w:hAnsi="Verdana"/>
                <w:sz w:val="20"/>
                <w:szCs w:val="20"/>
              </w:rPr>
            </w:pPr>
            <w:r w:rsidRPr="00DE5B2C">
              <w:rPr>
                <w:rFonts w:ascii="Verdana" w:hAnsi="Verdana"/>
                <w:sz w:val="20"/>
                <w:szCs w:val="20"/>
              </w:rPr>
              <w:t>Comply</w:t>
            </w:r>
          </w:p>
        </w:tc>
        <w:tc>
          <w:tcPr>
            <w:tcW w:w="1395" w:type="dxa"/>
          </w:tcPr>
          <w:p w:rsidR="004F762A" w:rsidRPr="00DE5B2C" w:rsidRDefault="004F762A" w:rsidP="004F762A">
            <w:pPr>
              <w:rPr>
                <w:rFonts w:ascii="Verdana" w:hAnsi="Verdana"/>
                <w:sz w:val="20"/>
                <w:szCs w:val="20"/>
              </w:rPr>
            </w:pPr>
            <w:r w:rsidRPr="00DE5B2C">
              <w:rPr>
                <w:rFonts w:ascii="Verdana" w:hAnsi="Verdana"/>
                <w:sz w:val="20"/>
                <w:szCs w:val="20"/>
              </w:rPr>
              <w:t>Not Comply</w:t>
            </w:r>
          </w:p>
        </w:tc>
      </w:tr>
      <w:tr w:rsidR="004F762A" w:rsidRPr="00DE5B2C" w:rsidTr="004F762A">
        <w:trPr>
          <w:cantSplit/>
        </w:trPr>
        <w:tc>
          <w:tcPr>
            <w:tcW w:w="6301" w:type="dxa"/>
            <w:vMerge/>
          </w:tcPr>
          <w:p w:rsidR="004F762A" w:rsidRPr="00DE5B2C" w:rsidRDefault="004F762A" w:rsidP="004F762A">
            <w:pPr>
              <w:rPr>
                <w:rFonts w:ascii="Verdana" w:eastAsia="MS Mincho" w:hAnsi="Verdana"/>
                <w:sz w:val="20"/>
                <w:szCs w:val="20"/>
              </w:rPr>
            </w:pP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Handcuffs.</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Whistle.</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Pocket book.</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Pen.</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Torch (at night).</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firstLine="720"/>
              <w:rPr>
                <w:rFonts w:ascii="Verdana" w:hAnsi="Verdana"/>
                <w:sz w:val="20"/>
                <w:szCs w:val="20"/>
                <w:lang w:val="en-GB"/>
              </w:rPr>
            </w:pPr>
            <w:r w:rsidRPr="000A7B88">
              <w:rPr>
                <w:rFonts w:ascii="Verdana" w:hAnsi="Verdana"/>
                <w:sz w:val="20"/>
                <w:szCs w:val="20"/>
                <w:lang w:val="en-GB"/>
              </w:rPr>
              <w:noBreakHyphen/>
              <w:t>2</w:t>
            </w:r>
            <w:r>
              <w:rPr>
                <w:rFonts w:ascii="Verdana" w:hAnsi="Verdana"/>
                <w:sz w:val="20"/>
                <w:szCs w:val="20"/>
                <w:lang w:val="en-GB"/>
              </w:rPr>
              <w:t xml:space="preserve"> </w:t>
            </w:r>
            <w:r w:rsidRPr="000A7B88">
              <w:rPr>
                <w:rFonts w:ascii="Verdana" w:hAnsi="Verdana"/>
                <w:sz w:val="20"/>
                <w:szCs w:val="20"/>
                <w:lang w:val="en-GB"/>
              </w:rPr>
              <w:t>-</w:t>
            </w:r>
            <w:r>
              <w:rPr>
                <w:rFonts w:ascii="Verdana" w:hAnsi="Verdana"/>
                <w:sz w:val="20"/>
                <w:szCs w:val="20"/>
                <w:lang w:val="en-GB"/>
              </w:rPr>
              <w:t xml:space="preserve"> </w:t>
            </w:r>
            <w:r w:rsidRPr="000A7B88">
              <w:rPr>
                <w:rFonts w:ascii="Verdana" w:hAnsi="Verdana"/>
                <w:sz w:val="20"/>
                <w:szCs w:val="20"/>
                <w:lang w:val="en-GB"/>
              </w:rPr>
              <w:t>Way radio.</w:t>
            </w:r>
            <w:r w:rsidR="00E858EF">
              <w:rPr>
                <w:rFonts w:ascii="Verdana" w:hAnsi="Verdana"/>
                <w:sz w:val="20"/>
                <w:szCs w:val="20"/>
                <w:lang w:val="en-GB"/>
              </w:rPr>
              <w:t xml:space="preserve"> Where required</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E858EF">
            <w:pPr>
              <w:rPr>
                <w:rFonts w:ascii="Verdana" w:hAnsi="Verdana"/>
                <w:sz w:val="20"/>
                <w:szCs w:val="20"/>
                <w:lang w:val="en-GB"/>
              </w:rPr>
            </w:pPr>
            <w:r w:rsidRPr="000A7B88">
              <w:rPr>
                <w:rFonts w:ascii="Verdana" w:hAnsi="Verdana"/>
                <w:sz w:val="20"/>
                <w:szCs w:val="20"/>
                <w:lang w:val="en-GB"/>
              </w:rPr>
              <w:t xml:space="preserve">Service aids (to be </w:t>
            </w:r>
            <w:r>
              <w:rPr>
                <w:rFonts w:ascii="Verdana" w:hAnsi="Verdana"/>
                <w:sz w:val="20"/>
                <w:szCs w:val="20"/>
                <w:lang w:val="en-GB"/>
              </w:rPr>
              <w:t>used by</w:t>
            </w:r>
            <w:r w:rsidRPr="000A7B88">
              <w:rPr>
                <w:rFonts w:ascii="Verdana" w:hAnsi="Verdana"/>
                <w:sz w:val="20"/>
                <w:szCs w:val="20"/>
                <w:lang w:val="en-GB"/>
              </w:rPr>
              <w:t xml:space="preserve"> the person </w:t>
            </w:r>
            <w:r>
              <w:rPr>
                <w:rFonts w:ascii="Verdana" w:hAnsi="Verdana"/>
                <w:sz w:val="20"/>
                <w:szCs w:val="20"/>
                <w:lang w:val="en-GB"/>
              </w:rPr>
              <w:t>at all</w:t>
            </w:r>
            <w:r w:rsidRPr="000A7B88">
              <w:rPr>
                <w:rFonts w:ascii="Verdana" w:hAnsi="Verdana"/>
                <w:sz w:val="20"/>
                <w:szCs w:val="20"/>
                <w:lang w:val="en-GB"/>
              </w:rPr>
              <w:t xml:space="preserve"> times during guard duty) </w:t>
            </w:r>
            <w:r>
              <w:rPr>
                <w:rFonts w:ascii="Verdana" w:hAnsi="Verdana"/>
                <w:sz w:val="20"/>
                <w:szCs w:val="20"/>
                <w:lang w:val="en-GB"/>
              </w:rPr>
              <w:t>when required</w:t>
            </w:r>
            <w:r w:rsidRPr="000A7B88">
              <w:rPr>
                <w:rFonts w:ascii="Verdana" w:hAnsi="Verdana"/>
                <w:sz w:val="20"/>
                <w:szCs w:val="20"/>
                <w:lang w:val="en-GB"/>
              </w:rPr>
              <w:t>:</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rPr>
          <w:rFonts w:ascii="Verdana" w:hAnsi="Verdana"/>
          <w:sz w:val="20"/>
          <w:szCs w:val="20"/>
        </w:rPr>
      </w:pPr>
    </w:p>
    <w:p w:rsidR="004F762A" w:rsidRPr="00DE5B2C" w:rsidRDefault="00E858EF" w:rsidP="004F762A">
      <w:pPr>
        <w:pStyle w:val="Heading2"/>
        <w:numPr>
          <w:ilvl w:val="0"/>
          <w:numId w:val="0"/>
        </w:numPr>
        <w:ind w:left="595" w:hanging="55"/>
      </w:pPr>
      <w:bookmarkStart w:id="64" w:name="_Toc347471352"/>
      <w:r>
        <w:t>2.2</w:t>
      </w:r>
      <w:r w:rsidR="008A3582">
        <w:t>0</w:t>
      </w:r>
      <w:r w:rsidR="004F762A">
        <w:t xml:space="preserve">     </w:t>
      </w:r>
      <w:r w:rsidR="004F762A" w:rsidRPr="00DE5B2C">
        <w:t>MANDATORY</w:t>
      </w:r>
      <w:bookmarkEnd w:id="6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Tr="004F762A">
        <w:trPr>
          <w:cantSplit/>
        </w:trPr>
        <w:tc>
          <w:tcPr>
            <w:tcW w:w="6473" w:type="dxa"/>
            <w:vMerge w:val="restart"/>
          </w:tcPr>
          <w:p w:rsidR="004F762A" w:rsidRPr="00492404" w:rsidRDefault="004F762A" w:rsidP="004F762A">
            <w:pPr>
              <w:jc w:val="both"/>
              <w:rPr>
                <w:rFonts w:ascii="Verdana" w:hAnsi="Verdana"/>
                <w:sz w:val="20"/>
                <w:szCs w:val="20"/>
              </w:rPr>
            </w:pPr>
            <w:r w:rsidRPr="001834B2">
              <w:rPr>
                <w:rFonts w:ascii="Verdana" w:hAnsi="Verdana"/>
                <w:sz w:val="20"/>
                <w:szCs w:val="20"/>
                <w:lang w:val="en-US"/>
              </w:rPr>
              <w:t>If due to any willful conduct, omission, negligence or dereliction of duties on the part of</w:t>
            </w:r>
            <w:r w:rsidR="00881134">
              <w:rPr>
                <w:rFonts w:ascii="Verdana" w:hAnsi="Verdana"/>
                <w:sz w:val="20"/>
                <w:szCs w:val="20"/>
                <w:lang w:val="en-US"/>
              </w:rPr>
              <w:t xml:space="preserve"> the vendor or their staff, NHLS</w:t>
            </w:r>
            <w:r w:rsidRPr="001834B2">
              <w:rPr>
                <w:rFonts w:ascii="Verdana" w:hAnsi="Verdana"/>
                <w:sz w:val="20"/>
                <w:szCs w:val="20"/>
                <w:lang w:val="en-US"/>
              </w:rPr>
              <w:t xml:space="preserve"> suffers any pecuniary loss or damage, th</w:t>
            </w:r>
            <w:r w:rsidR="00881134">
              <w:rPr>
                <w:rFonts w:ascii="Verdana" w:hAnsi="Verdana"/>
                <w:sz w:val="20"/>
                <w:szCs w:val="20"/>
                <w:lang w:val="en-US"/>
              </w:rPr>
              <w:t>e vendor shall be liable to NHLS</w:t>
            </w:r>
            <w:r w:rsidRPr="001834B2">
              <w:rPr>
                <w:rFonts w:ascii="Verdana" w:hAnsi="Verdana"/>
                <w:sz w:val="20"/>
                <w:szCs w:val="20"/>
                <w:lang w:val="en-US"/>
              </w:rPr>
              <w:t xml:space="preserve"> such pecuniary loss or damages.</w:t>
            </w:r>
            <w:r w:rsidRPr="00743C39">
              <w:rPr>
                <w:rFonts w:ascii="Verdana" w:hAnsi="Verdana"/>
                <w:sz w:val="20"/>
                <w:szCs w:val="20"/>
                <w:lang w:val="en-US"/>
              </w:rPr>
              <w:t xml:space="preserve"> </w:t>
            </w:r>
          </w:p>
        </w:tc>
        <w:tc>
          <w:tcPr>
            <w:tcW w:w="1240" w:type="dxa"/>
          </w:tcPr>
          <w:p w:rsidR="004F762A" w:rsidRDefault="004F762A" w:rsidP="004F762A">
            <w:pPr>
              <w:rPr>
                <w:rFonts w:ascii="Verdana" w:hAnsi="Verdana"/>
                <w:sz w:val="20"/>
                <w:szCs w:val="20"/>
              </w:rPr>
            </w:pPr>
            <w:r>
              <w:rPr>
                <w:rFonts w:ascii="Verdana" w:hAnsi="Verdana"/>
                <w:sz w:val="20"/>
                <w:szCs w:val="20"/>
              </w:rPr>
              <w:t>Comply</w:t>
            </w:r>
          </w:p>
        </w:tc>
        <w:tc>
          <w:tcPr>
            <w:tcW w:w="1408"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473" w:type="dxa"/>
            <w:vMerge/>
          </w:tcPr>
          <w:p w:rsidR="004F762A" w:rsidRPr="00492404" w:rsidRDefault="004F762A" w:rsidP="004F762A">
            <w:pPr>
              <w:rPr>
                <w:rFonts w:ascii="Verdana" w:eastAsia="MS Mincho" w:hAnsi="Verdana"/>
                <w:sz w:val="20"/>
                <w:szCs w:val="20"/>
              </w:rPr>
            </w:pPr>
          </w:p>
        </w:tc>
        <w:tc>
          <w:tcPr>
            <w:tcW w:w="1240" w:type="dxa"/>
          </w:tcPr>
          <w:p w:rsidR="004F762A" w:rsidRDefault="004F762A" w:rsidP="004F762A">
            <w:pPr>
              <w:rPr>
                <w:rFonts w:ascii="Verdana" w:hAnsi="Verdana"/>
                <w:sz w:val="20"/>
                <w:szCs w:val="20"/>
              </w:rPr>
            </w:pPr>
          </w:p>
        </w:tc>
        <w:tc>
          <w:tcPr>
            <w:tcW w:w="1408"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bookmarkStart w:id="65" w:name="_Toc347471353"/>
      <w:r>
        <w:t>2.2</w:t>
      </w:r>
      <w:r w:rsidR="008A3582">
        <w:t>1</w:t>
      </w:r>
      <w:r>
        <w:t xml:space="preserve">     </w:t>
      </w:r>
      <w:r w:rsidRPr="00406435">
        <w:t>MANDATORY</w:t>
      </w:r>
      <w:bookmarkEnd w:id="6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062264" w:rsidTr="004F762A">
        <w:trPr>
          <w:cantSplit/>
        </w:trPr>
        <w:tc>
          <w:tcPr>
            <w:tcW w:w="6642" w:type="dxa"/>
            <w:vMerge w:val="restart"/>
          </w:tcPr>
          <w:p w:rsidR="004F762A" w:rsidRPr="00062264" w:rsidRDefault="004F762A" w:rsidP="004F762A">
            <w:pPr>
              <w:rPr>
                <w:rFonts w:ascii="Verdana" w:hAnsi="Verdana"/>
                <w:sz w:val="20"/>
                <w:szCs w:val="20"/>
              </w:rPr>
            </w:pPr>
            <w:r w:rsidRPr="00743C39">
              <w:rPr>
                <w:rFonts w:ascii="Verdana" w:hAnsi="Verdana"/>
                <w:sz w:val="20"/>
                <w:szCs w:val="20"/>
                <w:lang w:val="en-GB"/>
              </w:rPr>
              <w:t>Shift Supervisors</w:t>
            </w:r>
            <w:r>
              <w:rPr>
                <w:rFonts w:ascii="Verdana" w:hAnsi="Verdana"/>
                <w:sz w:val="20"/>
                <w:szCs w:val="20"/>
                <w:lang w:val="en-GB"/>
              </w:rPr>
              <w:t xml:space="preserve"> appointed by the vendor</w:t>
            </w:r>
            <w:r w:rsidR="00881134">
              <w:rPr>
                <w:rFonts w:ascii="Verdana" w:hAnsi="Verdana"/>
                <w:sz w:val="20"/>
                <w:szCs w:val="20"/>
                <w:lang w:val="en-GB"/>
              </w:rPr>
              <w:t xml:space="preserve"> are required to visit NHLS</w:t>
            </w:r>
            <w:r w:rsidRPr="00743C39">
              <w:rPr>
                <w:rFonts w:ascii="Verdana" w:hAnsi="Verdana"/>
                <w:sz w:val="20"/>
                <w:szCs w:val="20"/>
                <w:lang w:val="en-GB"/>
              </w:rPr>
              <w:t xml:space="preserve"> sites on a daily basis to supervise staff and make follow up on issues requiring further attention. Evidence of such visits should be recorded in the Occurrence books available at each site. The visits exclude the transporting of staff to and from work</w:t>
            </w:r>
            <w:r>
              <w:rPr>
                <w:rFonts w:ascii="Verdana" w:hAnsi="Verdana"/>
                <w:sz w:val="20"/>
                <w:szCs w:val="20"/>
                <w:lang w:val="en-GB"/>
              </w:rPr>
              <w:t>.</w:t>
            </w:r>
          </w:p>
        </w:tc>
        <w:tc>
          <w:tcPr>
            <w:tcW w:w="1249" w:type="dxa"/>
          </w:tcPr>
          <w:p w:rsidR="004F762A" w:rsidRPr="00062264" w:rsidRDefault="004F762A" w:rsidP="004F762A">
            <w:pPr>
              <w:rPr>
                <w:rFonts w:ascii="Verdana" w:hAnsi="Verdana"/>
                <w:sz w:val="20"/>
                <w:szCs w:val="20"/>
              </w:rPr>
            </w:pPr>
            <w:r w:rsidRPr="00062264">
              <w:rPr>
                <w:rFonts w:ascii="Verdana" w:hAnsi="Verdana"/>
                <w:sz w:val="20"/>
                <w:szCs w:val="20"/>
              </w:rPr>
              <w:t>Comply</w:t>
            </w:r>
          </w:p>
        </w:tc>
        <w:tc>
          <w:tcPr>
            <w:tcW w:w="1422" w:type="dxa"/>
          </w:tcPr>
          <w:p w:rsidR="004F762A" w:rsidRPr="00062264" w:rsidRDefault="004F762A" w:rsidP="004F762A">
            <w:pPr>
              <w:rPr>
                <w:rFonts w:ascii="Verdana" w:hAnsi="Verdana"/>
                <w:sz w:val="20"/>
                <w:szCs w:val="20"/>
              </w:rPr>
            </w:pPr>
            <w:r w:rsidRPr="00062264">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pStyle w:val="Heading2"/>
        <w:numPr>
          <w:ilvl w:val="0"/>
          <w:numId w:val="0"/>
        </w:numPr>
      </w:pPr>
    </w:p>
    <w:p w:rsidR="004F762A" w:rsidRPr="00DE5B2C" w:rsidRDefault="00E858EF" w:rsidP="004F762A">
      <w:pPr>
        <w:pStyle w:val="Heading2"/>
        <w:numPr>
          <w:ilvl w:val="0"/>
          <w:numId w:val="0"/>
        </w:numPr>
        <w:ind w:left="595" w:hanging="55"/>
      </w:pPr>
      <w:bookmarkStart w:id="66" w:name="_Toc347471354"/>
      <w:r>
        <w:t>2.2</w:t>
      </w:r>
      <w:r w:rsidR="008A3582">
        <w:t>2</w:t>
      </w:r>
      <w:r w:rsidR="004F762A">
        <w:t xml:space="preserve">    </w:t>
      </w:r>
      <w:r w:rsidR="004F762A" w:rsidRPr="00DE5B2C">
        <w:t>MANDATORY</w:t>
      </w:r>
      <w:bookmarkEnd w:id="6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DE5B2C" w:rsidTr="004F762A">
        <w:trPr>
          <w:cantSplit/>
        </w:trPr>
        <w:tc>
          <w:tcPr>
            <w:tcW w:w="6642" w:type="dxa"/>
            <w:vMerge w:val="restart"/>
          </w:tcPr>
          <w:p w:rsidR="004F762A" w:rsidRPr="00DE5B2C" w:rsidRDefault="004F762A" w:rsidP="004F762A">
            <w:pPr>
              <w:jc w:val="both"/>
              <w:rPr>
                <w:rFonts w:ascii="Verdana" w:hAnsi="Verdana"/>
                <w:sz w:val="20"/>
                <w:szCs w:val="20"/>
              </w:rPr>
            </w:pPr>
            <w:r w:rsidRPr="003B2A55">
              <w:rPr>
                <w:rFonts w:ascii="Verdana" w:hAnsi="Verdana"/>
                <w:sz w:val="20"/>
                <w:szCs w:val="20"/>
                <w:lang w:val="en-GB"/>
              </w:rPr>
              <w:t xml:space="preserve">The </w:t>
            </w:r>
            <w:r>
              <w:rPr>
                <w:rFonts w:ascii="Verdana" w:hAnsi="Verdana"/>
                <w:sz w:val="20"/>
                <w:szCs w:val="20"/>
                <w:lang w:val="en-GB"/>
              </w:rPr>
              <w:t>vendor</w:t>
            </w:r>
            <w:r w:rsidRPr="003B2A55">
              <w:rPr>
                <w:rFonts w:ascii="Verdana" w:hAnsi="Verdana"/>
                <w:sz w:val="20"/>
                <w:szCs w:val="20"/>
                <w:lang w:val="en-GB"/>
              </w:rPr>
              <w:t xml:space="preserve"> shall investigate incid</w:t>
            </w:r>
            <w:r w:rsidR="00881134">
              <w:rPr>
                <w:rFonts w:ascii="Verdana" w:hAnsi="Verdana"/>
                <w:sz w:val="20"/>
                <w:szCs w:val="20"/>
                <w:lang w:val="en-GB"/>
              </w:rPr>
              <w:t>ents and submit a report to NHLS</w:t>
            </w:r>
            <w:r w:rsidRPr="003B2A55">
              <w:rPr>
                <w:rFonts w:ascii="Verdana" w:hAnsi="Verdana"/>
                <w:sz w:val="20"/>
                <w:szCs w:val="20"/>
                <w:lang w:val="en-GB"/>
              </w:rPr>
              <w:t xml:space="preserve"> within 72 hours.</w:t>
            </w:r>
          </w:p>
        </w:tc>
        <w:tc>
          <w:tcPr>
            <w:tcW w:w="1249" w:type="dxa"/>
          </w:tcPr>
          <w:p w:rsidR="004F762A" w:rsidRPr="00DE5B2C" w:rsidRDefault="004F762A" w:rsidP="004F762A">
            <w:pPr>
              <w:rPr>
                <w:rFonts w:ascii="Verdana" w:hAnsi="Verdana"/>
                <w:sz w:val="20"/>
                <w:szCs w:val="20"/>
              </w:rPr>
            </w:pPr>
            <w:r w:rsidRPr="00DE5B2C">
              <w:rPr>
                <w:rFonts w:ascii="Verdana" w:hAnsi="Verdana"/>
                <w:sz w:val="20"/>
                <w:szCs w:val="20"/>
              </w:rPr>
              <w:t>Comply</w:t>
            </w:r>
          </w:p>
        </w:tc>
        <w:tc>
          <w:tcPr>
            <w:tcW w:w="1422" w:type="dxa"/>
          </w:tcPr>
          <w:p w:rsidR="004F762A" w:rsidRPr="00DE5B2C" w:rsidRDefault="004F762A" w:rsidP="004F762A">
            <w:pPr>
              <w:rPr>
                <w:rFonts w:ascii="Verdana" w:hAnsi="Verdana"/>
                <w:sz w:val="20"/>
                <w:szCs w:val="20"/>
              </w:rPr>
            </w:pPr>
            <w:r w:rsidRPr="00DE5B2C">
              <w:rPr>
                <w:rFonts w:ascii="Verdana" w:hAnsi="Verdana"/>
                <w:sz w:val="20"/>
                <w:szCs w:val="20"/>
              </w:rPr>
              <w:t>Not Comply</w:t>
            </w:r>
          </w:p>
        </w:tc>
      </w:tr>
      <w:tr w:rsidR="004F762A" w:rsidRPr="00DE5B2C" w:rsidTr="004F762A">
        <w:trPr>
          <w:cantSplit/>
        </w:trPr>
        <w:tc>
          <w:tcPr>
            <w:tcW w:w="6642" w:type="dxa"/>
            <w:vMerge/>
          </w:tcPr>
          <w:p w:rsidR="004F762A" w:rsidRPr="00DE5B2C" w:rsidRDefault="004F762A" w:rsidP="004F762A">
            <w:pPr>
              <w:rPr>
                <w:rFonts w:ascii="Verdana" w:eastAsia="MS Mincho" w:hAnsi="Verdana"/>
                <w:sz w:val="20"/>
                <w:szCs w:val="20"/>
              </w:rPr>
            </w:pPr>
          </w:p>
        </w:tc>
        <w:tc>
          <w:tcPr>
            <w:tcW w:w="1249" w:type="dxa"/>
          </w:tcPr>
          <w:p w:rsidR="004F762A" w:rsidRPr="00DE5B2C" w:rsidRDefault="004F762A" w:rsidP="004F762A">
            <w:pPr>
              <w:rPr>
                <w:rFonts w:ascii="Verdana" w:hAnsi="Verdana"/>
                <w:sz w:val="20"/>
                <w:szCs w:val="20"/>
              </w:rPr>
            </w:pPr>
          </w:p>
        </w:tc>
        <w:tc>
          <w:tcPr>
            <w:tcW w:w="1422" w:type="dxa"/>
          </w:tcPr>
          <w:p w:rsidR="004F762A" w:rsidRPr="00DE5B2C" w:rsidRDefault="004F762A" w:rsidP="004F762A">
            <w:pPr>
              <w:rPr>
                <w:rFonts w:ascii="Verdana" w:hAnsi="Verdana"/>
                <w:sz w:val="20"/>
                <w:szCs w:val="20"/>
              </w:rPr>
            </w:pPr>
          </w:p>
        </w:tc>
      </w:tr>
    </w:tbl>
    <w:p w:rsidR="004F762A" w:rsidRPr="00DE5B2C" w:rsidRDefault="004F762A" w:rsidP="004F762A">
      <w:pPr>
        <w:rPr>
          <w:rFonts w:ascii="Verdana" w:hAnsi="Verdana"/>
          <w:sz w:val="20"/>
          <w:szCs w:val="20"/>
        </w:rPr>
      </w:pPr>
    </w:p>
    <w:p w:rsidR="004F762A" w:rsidRPr="00E62378" w:rsidRDefault="004F762A" w:rsidP="004F762A">
      <w:pPr>
        <w:spacing w:before="100" w:beforeAutospacing="1" w:after="100" w:afterAutospacing="1"/>
        <w:rPr>
          <w:rFonts w:ascii="Arial" w:hAnsi="Arial"/>
          <w:b/>
          <w:snapToGrid w:val="0"/>
          <w:sz w:val="22"/>
          <w:lang w:val="en-GB"/>
        </w:rPr>
      </w:pPr>
      <w:r w:rsidRPr="00E62378">
        <w:rPr>
          <w:rFonts w:ascii="Arial" w:hAnsi="Arial"/>
          <w:b/>
          <w:snapToGrid w:val="0"/>
          <w:sz w:val="22"/>
          <w:lang w:val="en-GB"/>
        </w:rPr>
        <w:t>Penalty Schedule</w:t>
      </w:r>
    </w:p>
    <w:p w:rsidR="004F762A" w:rsidRPr="003B7844" w:rsidRDefault="00881134" w:rsidP="004F762A">
      <w:pPr>
        <w:pStyle w:val="Heading2"/>
        <w:numPr>
          <w:ilvl w:val="0"/>
          <w:numId w:val="0"/>
        </w:numPr>
        <w:ind w:left="595" w:hanging="55"/>
      </w:pPr>
      <w:bookmarkStart w:id="67" w:name="_Toc347471357"/>
      <w:r>
        <w:t>2.2</w:t>
      </w:r>
      <w:r w:rsidR="008A3582">
        <w:t>3</w:t>
      </w:r>
      <w:r w:rsidR="004F762A">
        <w:t xml:space="preserve">    MANDATORY</w:t>
      </w:r>
      <w:bookmarkEnd w:id="67"/>
    </w:p>
    <w:tbl>
      <w:tblPr>
        <w:tblW w:w="0" w:type="auto"/>
        <w:tblInd w:w="648" w:type="dxa"/>
        <w:tblCellMar>
          <w:left w:w="0" w:type="dxa"/>
          <w:right w:w="0" w:type="dxa"/>
        </w:tblCellMar>
        <w:tblLook w:val="0000"/>
      </w:tblPr>
      <w:tblGrid>
        <w:gridCol w:w="6306"/>
        <w:gridCol w:w="1231"/>
        <w:gridCol w:w="1392"/>
      </w:tblGrid>
      <w:tr w:rsidR="004F762A" w:rsidRPr="00D55D7F" w:rsidTr="004F762A">
        <w:trPr>
          <w:cantSplit/>
        </w:trPr>
        <w:tc>
          <w:tcPr>
            <w:tcW w:w="6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0A7B88">
              <w:rPr>
                <w:rFonts w:ascii="Verdana" w:hAnsi="Verdana"/>
                <w:sz w:val="20"/>
                <w:szCs w:val="20"/>
                <w:lang w:val="en-GB"/>
              </w:rPr>
              <w:t xml:space="preserve">The </w:t>
            </w:r>
            <w:r>
              <w:rPr>
                <w:rFonts w:ascii="Verdana" w:hAnsi="Verdana"/>
                <w:sz w:val="20"/>
                <w:szCs w:val="20"/>
                <w:lang w:val="en-GB"/>
              </w:rPr>
              <w:t>vendor accepts the Penalty Schedule that will form part of the contract. The Penalty schedule will be discussed during the SLA and the contract negotiations.</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Pr="004C71FC" w:rsidRDefault="004F762A" w:rsidP="004F762A">
      <w:pPr>
        <w:spacing w:before="100" w:beforeAutospacing="1" w:after="100" w:afterAutospacing="1"/>
        <w:ind w:left="567" w:hanging="564"/>
        <w:rPr>
          <w:rFonts w:ascii="Arial" w:hAnsi="Arial"/>
          <w:b/>
          <w:snapToGrid w:val="0"/>
          <w:sz w:val="22"/>
          <w:lang w:val="en-GB"/>
        </w:rPr>
      </w:pPr>
      <w:r>
        <w:rPr>
          <w:rFonts w:ascii="Arial" w:hAnsi="Arial"/>
          <w:b/>
          <w:snapToGrid w:val="0"/>
          <w:sz w:val="22"/>
          <w:lang w:val="en-GB"/>
        </w:rPr>
        <w:t xml:space="preserve">        </w:t>
      </w:r>
      <w:r w:rsidRPr="004C71FC">
        <w:rPr>
          <w:rFonts w:ascii="Arial" w:hAnsi="Arial"/>
          <w:b/>
          <w:snapToGrid w:val="0"/>
          <w:sz w:val="22"/>
          <w:lang w:val="en-GB"/>
        </w:rPr>
        <w:t>Financial Standing</w:t>
      </w:r>
    </w:p>
    <w:p w:rsidR="004F762A" w:rsidRPr="003B7844" w:rsidRDefault="00881134" w:rsidP="004F762A">
      <w:pPr>
        <w:pStyle w:val="Heading2"/>
        <w:numPr>
          <w:ilvl w:val="0"/>
          <w:numId w:val="0"/>
        </w:numPr>
        <w:ind w:left="595" w:hanging="55"/>
      </w:pPr>
      <w:bookmarkStart w:id="68" w:name="_Toc347471358"/>
      <w:r>
        <w:t>2.2</w:t>
      </w:r>
      <w:r w:rsidR="008A3582">
        <w:t>4</w:t>
      </w:r>
      <w:r w:rsidR="004F762A">
        <w:t xml:space="preserve">    </w:t>
      </w:r>
      <w:r w:rsidR="004F762A" w:rsidRPr="003B7844">
        <w:t>MANDATORY</w:t>
      </w:r>
      <w:bookmarkEnd w:id="68"/>
    </w:p>
    <w:tbl>
      <w:tblPr>
        <w:tblW w:w="0" w:type="auto"/>
        <w:tblInd w:w="648" w:type="dxa"/>
        <w:tblCellMar>
          <w:left w:w="0" w:type="dxa"/>
          <w:right w:w="0" w:type="dxa"/>
        </w:tblCellMar>
        <w:tblLook w:val="0000"/>
      </w:tblPr>
      <w:tblGrid>
        <w:gridCol w:w="6861"/>
        <w:gridCol w:w="1019"/>
        <w:gridCol w:w="1049"/>
      </w:tblGrid>
      <w:tr w:rsidR="004F762A" w:rsidRPr="00D55D7F" w:rsidTr="004F762A">
        <w:trPr>
          <w:cantSplit/>
        </w:trPr>
        <w:tc>
          <w:tcPr>
            <w:tcW w:w="66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Pr>
                <w:rFonts w:ascii="Verdana" w:hAnsi="Verdana"/>
                <w:sz w:val="20"/>
                <w:szCs w:val="20"/>
              </w:rPr>
              <w:t>The bidder must be in good financial standing to be able to pay its staff for a period of one month whil</w:t>
            </w:r>
            <w:r w:rsidR="00881134">
              <w:rPr>
                <w:rFonts w:ascii="Verdana" w:hAnsi="Verdana"/>
                <w:sz w:val="20"/>
                <w:szCs w:val="20"/>
              </w:rPr>
              <w:t>e waiting for payment from NHLS</w:t>
            </w:r>
            <w:r>
              <w:rPr>
                <w:rFonts w:ascii="Verdana" w:hAnsi="Verdana"/>
                <w:sz w:val="20"/>
                <w:szCs w:val="20"/>
              </w:rPr>
              <w:t xml:space="preserve"> </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50" w:type="dxa"/>
            <w:tcBorders>
              <w:top w:val="nil"/>
              <w:left w:val="nil"/>
              <w:bottom w:val="nil"/>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nil"/>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r w:rsidR="004F762A" w:rsidRPr="003B7844" w:rsidTr="004F762A">
        <w:trPr>
          <w:cantSplit/>
        </w:trPr>
        <w:tc>
          <w:tcPr>
            <w:tcW w:w="0" w:type="auto"/>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r w:rsidRPr="001368FB">
              <w:rPr>
                <w:rFonts w:ascii="Verdana" w:hAnsi="Verdana"/>
                <w:b/>
                <w:sz w:val="20"/>
                <w:szCs w:val="20"/>
              </w:rPr>
              <w:t>Substantiate</w:t>
            </w:r>
            <w:r>
              <w:rPr>
                <w:rFonts w:ascii="Verdana" w:hAnsi="Verdana"/>
                <w:b/>
                <w:sz w:val="20"/>
                <w:szCs w:val="20"/>
              </w:rPr>
              <w:t xml:space="preserve">: </w:t>
            </w:r>
            <w:r w:rsidRPr="001368FB">
              <w:rPr>
                <w:rFonts w:ascii="Verdana" w:hAnsi="Verdana"/>
                <w:sz w:val="20"/>
                <w:szCs w:val="20"/>
              </w:rPr>
              <w:t>By providing</w:t>
            </w:r>
            <w:r>
              <w:rPr>
                <w:rFonts w:ascii="Verdana" w:hAnsi="Verdana"/>
                <w:sz w:val="20"/>
                <w:szCs w:val="20"/>
              </w:rPr>
              <w:t xml:space="preserve"> a letter from the bank indicating that the company is in good financial standing and must be attached to the bid response. This must serve as a proof that the bidder will be able to pay Salaries for i</w:t>
            </w:r>
            <w:r w:rsidR="00881134">
              <w:rPr>
                <w:rFonts w:ascii="Verdana" w:hAnsi="Verdana"/>
                <w:sz w:val="20"/>
                <w:szCs w:val="20"/>
              </w:rPr>
              <w:t>ts staff without relying on NHLS</w:t>
            </w:r>
            <w:r>
              <w:rPr>
                <w:rFonts w:ascii="Verdana" w:hAnsi="Verdana"/>
                <w:sz w:val="20"/>
                <w:szCs w:val="20"/>
              </w:rPr>
              <w:t xml:space="preserve"> invoice payment.</w:t>
            </w:r>
            <w:r w:rsidR="00533FAA">
              <w:rPr>
                <w:rFonts w:ascii="Verdana" w:hAnsi="Verdana"/>
                <w:sz w:val="20"/>
                <w:szCs w:val="20"/>
              </w:rPr>
              <w:t xml:space="preserve"> </w:t>
            </w:r>
            <w:r w:rsidR="00533FAA" w:rsidRPr="006516A2">
              <w:rPr>
                <w:rFonts w:ascii="Verdana" w:hAnsi="Verdana"/>
                <w:sz w:val="20"/>
                <w:szCs w:val="20"/>
              </w:rPr>
              <w:t>.</w:t>
            </w:r>
            <w:r w:rsidR="00533FAA">
              <w:rPr>
                <w:rFonts w:ascii="Verdana" w:hAnsi="Verdana"/>
                <w:sz w:val="20"/>
                <w:szCs w:val="20"/>
              </w:rPr>
              <w:t>(Failure to comply may lead to disqualification)</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8A3582" w:rsidRDefault="008A3582">
      <w:pPr>
        <w:rPr>
          <w:color w:val="000080"/>
        </w:rPr>
      </w:pPr>
    </w:p>
    <w:p w:rsidR="008A3582" w:rsidRDefault="008A3582">
      <w:pPr>
        <w:rPr>
          <w:color w:val="000080"/>
        </w:rPr>
      </w:pPr>
    </w:p>
    <w:p w:rsidR="008A3582" w:rsidRDefault="008A3582">
      <w:pPr>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69" w:name="_Toc360622407"/>
      <w:r>
        <w:rPr>
          <w:color w:val="000080"/>
        </w:rPr>
        <w:t>Pricing</w:t>
      </w:r>
      <w:bookmarkEnd w:id="69"/>
    </w:p>
    <w:p w:rsidR="00795666" w:rsidRPr="00B56B3F" w:rsidRDefault="00795666" w:rsidP="00795666">
      <w:pPr>
        <w:tabs>
          <w:tab w:val="left" w:pos="720"/>
        </w:tabs>
        <w:suppressAutoHyphens/>
        <w:spacing w:line="360" w:lineRule="auto"/>
        <w:ind w:left="1440"/>
        <w:jc w:val="both"/>
        <w:rPr>
          <w:rFonts w:ascii="Verdana" w:hAnsi="Verdana" w:cs="Verdana"/>
          <w:bCs/>
          <w:sz w:val="20"/>
          <w:szCs w:val="20"/>
        </w:rPr>
      </w:pPr>
      <w:r w:rsidRPr="00573620">
        <w:rPr>
          <w:rFonts w:ascii="Verdana" w:hAnsi="Verdana" w:cs="Verdana"/>
          <w:b/>
          <w:bCs/>
          <w:sz w:val="20"/>
          <w:szCs w:val="20"/>
        </w:rPr>
        <w:t>Security services tender at NHLS, Chrishani Baragwanath NHLS Building</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3</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2</w:t>
            </w:r>
          </w:p>
        </w:tc>
      </w:tr>
    </w:tbl>
    <w:p w:rsidR="00795666" w:rsidRPr="00B56B3F" w:rsidRDefault="00795666" w:rsidP="00795666">
      <w:pPr>
        <w:rPr>
          <w:rFonts w:ascii="Verdana" w:hAnsi="Verdana"/>
          <w:color w:val="000000"/>
          <w:sz w:val="20"/>
          <w:szCs w:val="20"/>
        </w:rPr>
      </w:pPr>
    </w:p>
    <w:p w:rsidR="00665DDC" w:rsidRPr="00795666" w:rsidRDefault="00795666" w:rsidP="00665DDC">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 xml:space="preserve">SECURITY SERVICES TENDER AT NHLS, </w:t>
      </w:r>
      <w:r w:rsidR="00665DDC">
        <w:rPr>
          <w:rFonts w:ascii="Verdana" w:hAnsi="Verdana" w:cs="Verdana"/>
          <w:b/>
          <w:bCs/>
          <w:sz w:val="20"/>
          <w:szCs w:val="20"/>
        </w:rPr>
        <w:t>CHARLOTTE MAXEKE</w:t>
      </w:r>
      <w:r w:rsidR="00665DDC" w:rsidRPr="00795666">
        <w:rPr>
          <w:rFonts w:ascii="Verdana" w:hAnsi="Verdana" w:cs="Verdana"/>
          <w:b/>
          <w:bCs/>
          <w:sz w:val="20"/>
          <w:szCs w:val="20"/>
        </w:rPr>
        <w:t xml:space="preserve">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Default="00795666"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Pr="00795666" w:rsidRDefault="00665DDC" w:rsidP="00665DDC">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w:t>
      </w:r>
      <w:r>
        <w:rPr>
          <w:rFonts w:ascii="Verdana" w:hAnsi="Verdana" w:cs="Verdana"/>
          <w:b/>
          <w:bCs/>
          <w:sz w:val="20"/>
          <w:szCs w:val="20"/>
        </w:rPr>
        <w:t xml:space="preserve">ICES TENDER AT NHLS, </w:t>
      </w:r>
      <w:r w:rsidRPr="00795666">
        <w:rPr>
          <w:rFonts w:ascii="Verdana" w:hAnsi="Verdana" w:cs="Verdana"/>
          <w:b/>
          <w:bCs/>
          <w:sz w:val="20"/>
          <w:szCs w:val="20"/>
        </w:rPr>
        <w:t>BRAAMFONTEIN CAMPUS</w:t>
      </w:r>
    </w:p>
    <w:p w:rsidR="00665DDC" w:rsidRPr="00B56B3F" w:rsidRDefault="00665DDC" w:rsidP="00665DDC">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65DDC" w:rsidRPr="00B56B3F" w:rsidTr="00054AB9">
        <w:tc>
          <w:tcPr>
            <w:tcW w:w="4428"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665DDC" w:rsidRPr="00B56B3F" w:rsidRDefault="00665DDC" w:rsidP="00CA49E9">
            <w:pPr>
              <w:rPr>
                <w:rFonts w:ascii="Verdana" w:hAnsi="Verdana"/>
                <w:color w:val="000000"/>
                <w:sz w:val="20"/>
                <w:szCs w:val="20"/>
              </w:rPr>
            </w:pPr>
            <w:r w:rsidRPr="00B56B3F">
              <w:rPr>
                <w:rFonts w:ascii="Verdana" w:hAnsi="Verdana"/>
                <w:color w:val="000000"/>
                <w:sz w:val="20"/>
                <w:szCs w:val="20"/>
              </w:rPr>
              <w:t>R</w:t>
            </w:r>
          </w:p>
        </w:tc>
      </w:tr>
    </w:tbl>
    <w:p w:rsidR="00665DDC" w:rsidRPr="00B56B3F" w:rsidRDefault="00665DDC" w:rsidP="00665DDC">
      <w:pPr>
        <w:rPr>
          <w:rFonts w:ascii="Verdana" w:hAnsi="Verdana"/>
          <w:color w:val="000000"/>
          <w:sz w:val="20"/>
          <w:szCs w:val="20"/>
        </w:rPr>
      </w:pPr>
    </w:p>
    <w:p w:rsidR="00665DDC" w:rsidRPr="00B56B3F" w:rsidRDefault="00665DDC" w:rsidP="00665DDC">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665DDC" w:rsidRPr="00B56B3F" w:rsidTr="00054AB9">
        <w:tc>
          <w:tcPr>
            <w:tcW w:w="2881" w:type="dxa"/>
          </w:tcPr>
          <w:p w:rsidR="00665DDC" w:rsidRPr="00B56B3F" w:rsidRDefault="00665DDC" w:rsidP="00054AB9">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665DDC" w:rsidRPr="00B56B3F" w:rsidRDefault="00665DDC" w:rsidP="00054AB9">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665DDC" w:rsidRPr="00B56B3F" w:rsidRDefault="00665DDC" w:rsidP="00054AB9">
            <w:pPr>
              <w:jc w:val="center"/>
              <w:rPr>
                <w:rFonts w:ascii="Verdana" w:hAnsi="Verdana"/>
                <w:b/>
                <w:color w:val="000000"/>
                <w:sz w:val="20"/>
                <w:szCs w:val="20"/>
              </w:rPr>
            </w:pPr>
            <w:r w:rsidRPr="00B56B3F">
              <w:rPr>
                <w:rFonts w:ascii="Verdana" w:hAnsi="Verdana"/>
                <w:b/>
                <w:color w:val="000000"/>
                <w:sz w:val="20"/>
                <w:szCs w:val="20"/>
              </w:rPr>
              <w:t>QUANTITY</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Pr>
                <w:rFonts w:ascii="Verdana" w:hAnsi="Verdana"/>
                <w:color w:val="000000"/>
                <w:sz w:val="20"/>
                <w:szCs w:val="20"/>
              </w:rPr>
              <w:t>14</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Pr>
                <w:rFonts w:ascii="Verdana" w:hAnsi="Verdana"/>
                <w:color w:val="000000"/>
                <w:sz w:val="20"/>
                <w:szCs w:val="20"/>
              </w:rPr>
              <w:t>5</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Pr>
                <w:rFonts w:ascii="Verdana" w:hAnsi="Verdana"/>
                <w:color w:val="000000"/>
                <w:sz w:val="20"/>
                <w:szCs w:val="20"/>
              </w:rPr>
              <w:t>Guard Dog with Handler (night shift)</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054AB9">
        <w:tc>
          <w:tcPr>
            <w:tcW w:w="2881" w:type="dxa"/>
          </w:tcPr>
          <w:p w:rsidR="00665DDC" w:rsidRPr="00B56B3F" w:rsidRDefault="00665DDC" w:rsidP="00054AB9">
            <w:pPr>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665DDC" w:rsidRPr="00B56B3F" w:rsidRDefault="00665DDC" w:rsidP="00054AB9">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054AB9">
            <w:pPr>
              <w:jc w:val="center"/>
              <w:rPr>
                <w:rFonts w:ascii="Verdana" w:hAnsi="Verdana"/>
                <w:color w:val="000000"/>
                <w:sz w:val="20"/>
                <w:szCs w:val="20"/>
              </w:rPr>
            </w:pPr>
            <w:r>
              <w:rPr>
                <w:rFonts w:ascii="Verdana" w:hAnsi="Verdana"/>
                <w:color w:val="000000"/>
                <w:sz w:val="20"/>
                <w:szCs w:val="20"/>
              </w:rPr>
              <w:t>15</w:t>
            </w:r>
          </w:p>
        </w:tc>
      </w:tr>
    </w:tbl>
    <w:p w:rsidR="00665DDC" w:rsidRPr="00361E53" w:rsidRDefault="00665DDC" w:rsidP="00665DDC">
      <w:pPr>
        <w:rPr>
          <w:color w:val="000000"/>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CA49E9" w:rsidRDefault="00CA49E9">
      <w:pPr>
        <w:rPr>
          <w:rFonts w:ascii="Verdana" w:hAnsi="Verdana" w:cs="Arial"/>
          <w:b/>
          <w:color w:val="000000"/>
          <w:sz w:val="20"/>
          <w:szCs w:val="20"/>
          <w:u w:val="single"/>
        </w:rPr>
      </w:pPr>
      <w:r>
        <w:rPr>
          <w:rFonts w:ascii="Verdana" w:hAnsi="Verdana" w:cs="Arial"/>
          <w:b/>
          <w:color w:val="000000"/>
          <w:sz w:val="20"/>
          <w:szCs w:val="20"/>
          <w:u w:val="single"/>
        </w:rPr>
        <w:br w:type="page"/>
      </w:r>
    </w:p>
    <w:p w:rsidR="00665DDC" w:rsidRPr="00B56B3F" w:rsidRDefault="00665DDC" w:rsidP="00795666">
      <w:pPr>
        <w:rPr>
          <w:rFonts w:ascii="Verdana" w:hAnsi="Verdana" w:cs="Arial"/>
          <w:b/>
          <w:color w:val="000000"/>
          <w:sz w:val="20"/>
          <w:szCs w:val="20"/>
          <w:u w:val="single"/>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149 PRINCE STR, DURBAN</w:t>
      </w: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Saturday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4</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Pr="00B56B3F" w:rsidRDefault="00795666" w:rsidP="00795666">
      <w:pPr>
        <w:rPr>
          <w:rFonts w:ascii="Verdana" w:hAnsi="Verdana"/>
          <w:color w:val="000000"/>
          <w:sz w:val="20"/>
          <w:szCs w:val="20"/>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GREEN POINT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s="Arial"/>
          <w:b/>
          <w:color w:val="000000"/>
          <w:sz w:val="20"/>
          <w:szCs w:val="20"/>
          <w:u w:val="single"/>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PORT ELIZABETH CAMPUS</w:t>
      </w:r>
    </w:p>
    <w:p w:rsidR="00795666" w:rsidRPr="00B56B3F" w:rsidRDefault="00795666" w:rsidP="00795666">
      <w:pPr>
        <w:jc w:val="center"/>
        <w:rPr>
          <w:rFonts w:ascii="Verdana" w:hAnsi="Verdana" w:cs="Arial"/>
          <w:b/>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2</w:t>
            </w:r>
          </w:p>
        </w:tc>
      </w:tr>
    </w:tbl>
    <w:p w:rsidR="00795666" w:rsidRPr="00B56B3F" w:rsidRDefault="00795666" w:rsidP="00795666">
      <w:pPr>
        <w:rPr>
          <w:rFonts w:ascii="Verdana" w:hAnsi="Verdana"/>
          <w:color w:val="000000"/>
          <w:sz w:val="20"/>
          <w:szCs w:val="20"/>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SANDRINGHAM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CA49E9">
            <w:pPr>
              <w:rPr>
                <w:rFonts w:ascii="Verdana" w:hAnsi="Verdana"/>
                <w:color w:val="000000"/>
                <w:sz w:val="20"/>
                <w:szCs w:val="20"/>
              </w:rPr>
            </w:pPr>
            <w:r w:rsidRPr="00B56B3F">
              <w:rPr>
                <w:rFonts w:ascii="Verdana" w:hAnsi="Verdana"/>
                <w:color w:val="000000"/>
                <w:sz w:val="20"/>
                <w:szCs w:val="20"/>
              </w:rPr>
              <w:t>R</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10</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10</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Quad bike</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12</w:t>
            </w:r>
          </w:p>
        </w:tc>
      </w:tr>
    </w:tbl>
    <w:p w:rsidR="00795666" w:rsidRPr="00361E53" w:rsidRDefault="00795666" w:rsidP="00795666">
      <w:pPr>
        <w:rPr>
          <w:color w:val="000000"/>
        </w:rPr>
      </w:pPr>
    </w:p>
    <w:p w:rsidR="00795666" w:rsidRDefault="00795666" w:rsidP="00E74142">
      <w:pPr>
        <w:rPr>
          <w:rFonts w:ascii="Verdana" w:hAnsi="Verdana"/>
          <w:b/>
          <w:sz w:val="20"/>
          <w:szCs w:val="20"/>
        </w:rPr>
      </w:pPr>
    </w:p>
    <w:p w:rsidR="00C7369D" w:rsidRPr="00927BBE" w:rsidRDefault="00C7369D" w:rsidP="00C7369D">
      <w:pPr>
        <w:rPr>
          <w:rFonts w:ascii="Arial" w:hAnsi="Arial" w:cs="Arial"/>
          <w:color w:val="0D0D0D" w:themeColor="text1" w:themeTint="F2"/>
          <w:sz w:val="20"/>
          <w:szCs w:val="20"/>
        </w:rPr>
      </w:pP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573620">
        <w:rPr>
          <w:rFonts w:ascii="Verdana" w:eastAsia="Arial Unicode MS" w:hAnsi="Verdana" w:cs="Arial"/>
          <w:b/>
          <w:sz w:val="20"/>
          <w:szCs w:val="20"/>
        </w:rPr>
        <w:t>RFB</w:t>
      </w:r>
      <w:r w:rsidR="00E94EDD" w:rsidRPr="00573620">
        <w:rPr>
          <w:rFonts w:ascii="Verdana" w:eastAsia="Arial Unicode MS" w:hAnsi="Verdana" w:cs="Arial"/>
          <w:b/>
          <w:sz w:val="20"/>
          <w:szCs w:val="20"/>
        </w:rPr>
        <w:t xml:space="preserve"> N</w:t>
      </w:r>
      <w:r w:rsidRPr="00573620">
        <w:rPr>
          <w:rFonts w:ascii="Verdana" w:eastAsia="Arial Unicode MS" w:hAnsi="Verdana" w:cs="Arial"/>
          <w:b/>
          <w:sz w:val="20"/>
          <w:szCs w:val="20"/>
        </w:rPr>
        <w:t>o</w:t>
      </w:r>
      <w:r w:rsidR="00303BB3" w:rsidRPr="00573620">
        <w:rPr>
          <w:rFonts w:ascii="Verdana" w:eastAsia="Arial Unicode MS" w:hAnsi="Verdana" w:cs="Arial"/>
          <w:b/>
          <w:sz w:val="20"/>
          <w:szCs w:val="20"/>
        </w:rPr>
        <w:t>: 0</w:t>
      </w:r>
      <w:r w:rsidR="00CA49E9">
        <w:rPr>
          <w:rFonts w:ascii="Verdana" w:eastAsia="Arial Unicode MS" w:hAnsi="Verdana" w:cs="Arial"/>
          <w:b/>
          <w:sz w:val="20"/>
          <w:szCs w:val="20"/>
        </w:rPr>
        <w:t>43</w:t>
      </w:r>
      <w:r w:rsidR="00303BB3" w:rsidRPr="00573620">
        <w:rPr>
          <w:rFonts w:ascii="Verdana" w:eastAsia="Arial Unicode MS" w:hAnsi="Verdana" w:cs="Arial"/>
          <w:b/>
          <w:sz w:val="20"/>
          <w:szCs w:val="20"/>
        </w:rPr>
        <w:t>/13-14</w:t>
      </w:r>
      <w:r w:rsidRPr="00C013A1">
        <w:rPr>
          <w:rFonts w:ascii="Verdana" w:eastAsia="Arial Unicode MS" w:hAnsi="Verdana" w:cs="Arial"/>
          <w:sz w:val="20"/>
          <w:szCs w:val="20"/>
        </w:rPr>
        <w:t xml:space="preserve"> General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F32E67"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eastAsia="Arial Unicode MS" w:hAnsi="Verdana" w:cs="Arial"/>
          <w:b/>
          <w:sz w:val="20"/>
          <w:szCs w:val="20"/>
        </w:rPr>
        <w:t>SECRITY SERVICES FOR NHLS NATIONALLY</w:t>
      </w:r>
      <w:r w:rsidR="00BB7ED6" w:rsidRPr="00C7369D">
        <w:rPr>
          <w:rFonts w:ascii="Verdana" w:eastAsia="Arial Unicode MS" w:hAnsi="Verdana" w:cs="Arial"/>
          <w:sz w:val="20"/>
          <w:szCs w:val="20"/>
        </w:rPr>
        <w:t xml:space="preserve"> as detailed in the </w:t>
      </w:r>
      <w:r w:rsidR="00BB7ED6" w:rsidRPr="00573620">
        <w:rPr>
          <w:rFonts w:ascii="Verdana" w:eastAsia="Arial Unicode MS" w:hAnsi="Verdana" w:cs="Arial"/>
          <w:b/>
          <w:sz w:val="20"/>
          <w:szCs w:val="20"/>
        </w:rPr>
        <w:t>RFB</w:t>
      </w:r>
      <w:r w:rsidR="00F03EDC" w:rsidRPr="00573620">
        <w:rPr>
          <w:rFonts w:ascii="Verdana" w:eastAsia="Arial Unicode MS" w:hAnsi="Verdana" w:cs="Arial"/>
          <w:b/>
          <w:sz w:val="20"/>
          <w:szCs w:val="20"/>
        </w:rPr>
        <w:t xml:space="preserve"> </w:t>
      </w:r>
      <w:r w:rsidR="005C606E" w:rsidRPr="00573620">
        <w:rPr>
          <w:rFonts w:ascii="Verdana" w:eastAsia="Arial Unicode MS" w:hAnsi="Verdana" w:cs="Arial"/>
          <w:b/>
          <w:sz w:val="20"/>
          <w:szCs w:val="20"/>
        </w:rPr>
        <w:t>0</w:t>
      </w:r>
      <w:r w:rsidR="00CA49E9">
        <w:rPr>
          <w:rFonts w:ascii="Verdana" w:eastAsia="Arial Unicode MS" w:hAnsi="Verdana" w:cs="Arial"/>
          <w:b/>
          <w:sz w:val="20"/>
          <w:szCs w:val="20"/>
        </w:rPr>
        <w:t>43</w:t>
      </w:r>
      <w:r w:rsidR="005C606E" w:rsidRPr="00573620">
        <w:rPr>
          <w:rFonts w:ascii="Verdana" w:eastAsia="Arial Unicode MS" w:hAnsi="Verdana" w:cs="Arial"/>
          <w:b/>
          <w:sz w:val="20"/>
          <w:szCs w:val="20"/>
        </w:rPr>
        <w:t>/13-14</w:t>
      </w:r>
      <w:r w:rsidR="00BB7ED6" w:rsidRPr="00C7369D">
        <w:rPr>
          <w:rFonts w:ascii="Verdana" w:eastAsia="Arial Unicode MS" w:hAnsi="Verdana" w:cs="Arial"/>
          <w:sz w:val="20"/>
          <w:szCs w:val="20"/>
        </w:rPr>
        <w:t>,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F32E67">
        <w:rPr>
          <w:rFonts w:ascii="Verdana" w:eastAsia="Arial Unicode MS" w:hAnsi="Verdana" w:cs="Arial"/>
          <w:b/>
          <w:sz w:val="20"/>
          <w:szCs w:val="20"/>
        </w:rPr>
        <w:t>SECRITY SERVICES FOR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F32E67">
        <w:rPr>
          <w:rFonts w:ascii="Verdana" w:eastAsia="Arial Unicode MS" w:hAnsi="Verdana" w:cs="Arial"/>
          <w:b/>
          <w:sz w:val="20"/>
          <w:szCs w:val="20"/>
        </w:rPr>
        <w:t>SECRITY SERVICES FOR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70" w:name="_Toc360622408"/>
      <w:r>
        <w:rPr>
          <w:color w:val="000080"/>
        </w:rPr>
        <w:t>Tax Clearance Requirements</w:t>
      </w:r>
      <w:r>
        <w:rPr>
          <w:color w:val="000080"/>
        </w:rPr>
        <w:tab/>
      </w:r>
      <w:r>
        <w:rPr>
          <w:color w:val="000080"/>
        </w:rPr>
        <w:tab/>
      </w:r>
      <w:r>
        <w:rPr>
          <w:color w:val="000080"/>
        </w:rPr>
        <w:tab/>
        <w:t xml:space="preserve">  (SBD2)</w:t>
      </w:r>
      <w:bookmarkEnd w:id="70"/>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9D4F8C">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71" w:name="_Toc360622409"/>
      <w:r w:rsidRPr="0067215F">
        <w:rPr>
          <w:color w:val="000080"/>
        </w:rPr>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71"/>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72" w:name="_Toc311123814"/>
      <w:bookmarkStart w:id="73" w:name="_Toc360622410"/>
      <w:r w:rsidRPr="007C3B10">
        <w:rPr>
          <w:rFonts w:ascii="Verdana" w:hAnsi="Verdana"/>
          <w:snapToGrid/>
          <w:sz w:val="20"/>
        </w:rPr>
        <w:t>Full details of directors / trustees / members / shareholders.</w:t>
      </w:r>
      <w:bookmarkEnd w:id="72"/>
      <w:bookmarkEnd w:id="73"/>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74" w:name="_Toc311123815"/>
      <w:bookmarkStart w:id="75" w:name="_Toc360622411"/>
      <w:r w:rsidRPr="00616B86">
        <w:rPr>
          <w:rFonts w:ascii="Verdana" w:hAnsi="Verdana"/>
          <w:sz w:val="20"/>
        </w:rPr>
        <w:t>4.</w:t>
      </w:r>
      <w:r w:rsidRPr="00616B86">
        <w:rPr>
          <w:rFonts w:ascii="Verdana" w:hAnsi="Verdana"/>
          <w:sz w:val="20"/>
        </w:rPr>
        <w:tab/>
        <w:t>DECLARATION</w:t>
      </w:r>
      <w:bookmarkEnd w:id="74"/>
      <w:bookmarkEnd w:id="75"/>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76" w:name="_Toc360622412"/>
      <w:r>
        <w:rPr>
          <w:color w:val="000080"/>
        </w:rPr>
        <w:t>Nat</w:t>
      </w:r>
      <w:r w:rsidR="0077253D">
        <w:rPr>
          <w:color w:val="000080"/>
        </w:rPr>
        <w:t xml:space="preserve">ional Industrial Participation </w:t>
      </w:r>
      <w:r>
        <w:rPr>
          <w:color w:val="000080"/>
        </w:rPr>
        <w:t>(SBD5)</w:t>
      </w:r>
      <w:bookmarkEnd w:id="76"/>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77" w:name="_Toc360622413"/>
      <w:r w:rsidRPr="0067215F">
        <w:rPr>
          <w:rFonts w:ascii="Verdana" w:hAnsi="Verdana"/>
          <w:color w:val="000080"/>
          <w:sz w:val="24"/>
          <w:szCs w:val="24"/>
        </w:rPr>
        <w:t>Declaration Of Bidders Past Supply Chain Practices (SBD8)</w:t>
      </w:r>
      <w:bookmarkEnd w:id="77"/>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4"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BD44B4"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78" w:name="_Toc360622414"/>
      <w:r>
        <w:rPr>
          <w:rFonts w:ascii="Verdana" w:hAnsi="Verdana"/>
          <w:color w:val="000080"/>
          <w:sz w:val="24"/>
          <w:szCs w:val="24"/>
        </w:rPr>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78"/>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BD44B4" w:rsidRPr="00616B86">
        <w:rPr>
          <w:rFonts w:ascii="Verdana" w:hAnsi="Verdana" w:cs="Arial"/>
          <w:b/>
          <w:sz w:val="20"/>
        </w:rPr>
        <w:fldChar w:fldCharType="begin"/>
      </w:r>
      <w:r w:rsidRPr="00616B86">
        <w:rPr>
          <w:rFonts w:ascii="Verdana" w:hAnsi="Verdana" w:cs="Arial"/>
          <w:b/>
          <w:sz w:val="20"/>
        </w:rPr>
        <w:instrText xml:space="preserve"> EQ </w:instrText>
      </w:r>
      <w:r w:rsidR="00BD44B4"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79" w:name="_Toc311123819"/>
      <w:bookmarkStart w:id="80" w:name="_Toc360622415"/>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79"/>
      <w:bookmarkEnd w:id="80"/>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5" o:title=""/>
          </v:shape>
          <o:OLEObject Type="Embed" ProgID="Equation.3" ShapeID="_x0000_i1025" DrawAspect="Content" ObjectID="_1444624785" r:id="rId26"/>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27" o:title=""/>
          </v:shape>
          <o:OLEObject Type="Embed" ProgID="Equation.3" ShapeID="_x0000_i1026" DrawAspect="Content" ObjectID="_1444624786" r:id="rId28"/>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BD44B4"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81" w:name="_Toc360622416"/>
      <w:r>
        <w:rPr>
          <w:rFonts w:ascii="Verdana" w:hAnsi="Verdana"/>
          <w:color w:val="000080"/>
          <w:sz w:val="24"/>
          <w:szCs w:val="24"/>
        </w:rPr>
        <w:t>CERTIFICATE OF INDEPENDENT BID DETERMINIATION</w:t>
      </w:r>
      <w:r w:rsidR="00A07D81">
        <w:rPr>
          <w:rFonts w:ascii="Verdana" w:hAnsi="Verdana"/>
          <w:color w:val="000080"/>
          <w:sz w:val="24"/>
          <w:szCs w:val="24"/>
        </w:rPr>
        <w:t xml:space="preserve"> (SBD9)</w:t>
      </w:r>
      <w:bookmarkEnd w:id="81"/>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:_______________________________________________________</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32E67" w:rsidRDefault="00F32E67" w:rsidP="005C283B">
      <w:pPr>
        <w:pStyle w:val="ListParagraph"/>
        <w:autoSpaceDE w:val="0"/>
        <w:autoSpaceDN w:val="0"/>
        <w:adjustRightInd w:val="0"/>
        <w:spacing w:line="360" w:lineRule="auto"/>
        <w:ind w:left="2160" w:hanging="720"/>
        <w:jc w:val="right"/>
        <w:rPr>
          <w:rFonts w:ascii="Arial" w:hAnsi="Arial" w:cs="Arial"/>
          <w:b/>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82" w:name="_Toc360622417"/>
      <w:r>
        <w:rPr>
          <w:rFonts w:ascii="Verdana" w:hAnsi="Verdana"/>
          <w:color w:val="000080"/>
          <w:sz w:val="24"/>
          <w:szCs w:val="24"/>
        </w:rPr>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82"/>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9"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CB59AE" w:rsidRDefault="00CB59AE">
      <w:pPr>
        <w:rPr>
          <w:rFonts w:ascii="Verdana" w:hAnsi="Verdana"/>
          <w:sz w:val="20"/>
          <w:szCs w:val="20"/>
        </w:rPr>
      </w:pPr>
    </w:p>
    <w:sectPr w:rsidR="00CB59AE" w:rsidSect="007C5192">
      <w:headerReference w:type="first" r:id="rId30"/>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80" w:rsidRDefault="000A0580">
      <w:r>
        <w:separator/>
      </w:r>
    </w:p>
    <w:p w:rsidR="000A0580" w:rsidRDefault="000A0580"/>
  </w:endnote>
  <w:endnote w:type="continuationSeparator" w:id="0">
    <w:p w:rsidR="000A0580" w:rsidRDefault="000A0580">
      <w:r>
        <w:continuationSeparator/>
      </w:r>
    </w:p>
    <w:p w:rsidR="000A0580" w:rsidRDefault="000A05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1B52AE" w:rsidRPr="00487022">
      <w:trPr>
        <w:trHeight w:val="182"/>
      </w:trPr>
      <w:tc>
        <w:tcPr>
          <w:tcW w:w="3373" w:type="dxa"/>
        </w:tcPr>
        <w:p w:rsidR="001B52AE" w:rsidRPr="004660EF" w:rsidRDefault="00BD44B4" w:rsidP="007F654A">
          <w:pPr>
            <w:pStyle w:val="Footer"/>
            <w:tabs>
              <w:tab w:val="clear" w:pos="4153"/>
              <w:tab w:val="clear" w:pos="8306"/>
            </w:tabs>
            <w:ind w:right="360"/>
            <w:rPr>
              <w:rFonts w:ascii="Verdana" w:hAnsi="Verdana" w:cs="Arial"/>
              <w:sz w:val="16"/>
              <w:szCs w:val="16"/>
            </w:rPr>
          </w:pPr>
          <w:fldSimple w:instr=" FILENAME   \* MERGEFORMAT ">
            <w:r w:rsidR="00A913CB" w:rsidRPr="00A913CB">
              <w:rPr>
                <w:rFonts w:ascii="Verdana" w:hAnsi="Verdana" w:cs="Arial"/>
                <w:noProof/>
                <w:sz w:val="16"/>
                <w:szCs w:val="16"/>
              </w:rPr>
              <w:t>RFB043-13-14docx.docx</w:t>
            </w:r>
          </w:fldSimple>
        </w:p>
      </w:tc>
      <w:tc>
        <w:tcPr>
          <w:tcW w:w="2861" w:type="dxa"/>
        </w:tcPr>
        <w:p w:rsidR="001B52AE" w:rsidRPr="00487022" w:rsidRDefault="001B52AE"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B52AE" w:rsidRPr="00487022" w:rsidRDefault="001B52AE"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BD44B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BD44B4" w:rsidRPr="00D27B11">
            <w:rPr>
              <w:rStyle w:val="PageNumber"/>
              <w:rFonts w:ascii="Verdana" w:hAnsi="Verdana" w:cs="Arial"/>
              <w:sz w:val="16"/>
              <w:szCs w:val="16"/>
            </w:rPr>
            <w:fldChar w:fldCharType="separate"/>
          </w:r>
          <w:r w:rsidR="00A913CB">
            <w:rPr>
              <w:rStyle w:val="PageNumber"/>
              <w:rFonts w:ascii="Verdana" w:hAnsi="Verdana" w:cs="Arial"/>
              <w:noProof/>
              <w:sz w:val="16"/>
              <w:szCs w:val="16"/>
            </w:rPr>
            <w:t>89</w:t>
          </w:r>
          <w:r w:rsidR="00BD44B4"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BD44B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BD44B4" w:rsidRPr="00D27B11">
            <w:rPr>
              <w:rStyle w:val="PageNumber"/>
              <w:rFonts w:ascii="Verdana" w:hAnsi="Verdana" w:cs="Arial"/>
              <w:sz w:val="16"/>
              <w:szCs w:val="16"/>
            </w:rPr>
            <w:fldChar w:fldCharType="separate"/>
          </w:r>
          <w:r w:rsidR="00A913CB">
            <w:rPr>
              <w:rStyle w:val="PageNumber"/>
              <w:rFonts w:ascii="Verdana" w:hAnsi="Verdana" w:cs="Arial"/>
              <w:noProof/>
              <w:sz w:val="16"/>
              <w:szCs w:val="16"/>
            </w:rPr>
            <w:t>89</w:t>
          </w:r>
          <w:r w:rsidR="00BD44B4" w:rsidRPr="00D27B11">
            <w:rPr>
              <w:rStyle w:val="PageNumber"/>
              <w:rFonts w:ascii="Verdana" w:hAnsi="Verdana" w:cs="Arial"/>
              <w:sz w:val="16"/>
              <w:szCs w:val="16"/>
            </w:rPr>
            <w:fldChar w:fldCharType="end"/>
          </w:r>
        </w:p>
      </w:tc>
    </w:tr>
  </w:tbl>
  <w:p w:rsidR="001B52AE" w:rsidRDefault="001B52AE"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80" w:rsidRDefault="000A0580">
      <w:r>
        <w:separator/>
      </w:r>
    </w:p>
    <w:p w:rsidR="000A0580" w:rsidRDefault="000A0580"/>
  </w:footnote>
  <w:footnote w:type="continuationSeparator" w:id="0">
    <w:p w:rsidR="000A0580" w:rsidRDefault="000A0580">
      <w:r>
        <w:continuationSeparator/>
      </w:r>
    </w:p>
    <w:p w:rsidR="000A0580" w:rsidRDefault="000A05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AE" w:rsidRDefault="001B5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5">
    <w:nsid w:val="3FA7181A"/>
    <w:multiLevelType w:val="hybridMultilevel"/>
    <w:tmpl w:val="C1EAA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7">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8">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0">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1">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4">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5">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7">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9">
    <w:nsid w:val="70C87788"/>
    <w:multiLevelType w:val="multilevel"/>
    <w:tmpl w:val="C210562A"/>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bullet"/>
      <w:lvlText w:val=""/>
      <w:lvlJc w:val="left"/>
      <w:pPr>
        <w:ind w:left="1440" w:hanging="1080"/>
      </w:pPr>
      <w:rPr>
        <w:rFonts w:ascii="Symbol" w:hAnsi="Symbol"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0">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1">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2">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3">
    <w:nsid w:val="7F8444C4"/>
    <w:multiLevelType w:val="hybridMultilevel"/>
    <w:tmpl w:val="B7DAB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4"/>
  </w:num>
  <w:num w:numId="4">
    <w:abstractNumId w:val="34"/>
  </w:num>
  <w:num w:numId="5">
    <w:abstractNumId w:val="14"/>
  </w:num>
  <w:num w:numId="6">
    <w:abstractNumId w:val="25"/>
  </w:num>
  <w:num w:numId="7">
    <w:abstractNumId w:val="32"/>
  </w:num>
  <w:num w:numId="8">
    <w:abstractNumId w:val="48"/>
  </w:num>
  <w:num w:numId="9">
    <w:abstractNumId w:val="18"/>
  </w:num>
  <w:num w:numId="10">
    <w:abstractNumId w:val="17"/>
  </w:num>
  <w:num w:numId="11">
    <w:abstractNumId w:val="31"/>
  </w:num>
  <w:num w:numId="12">
    <w:abstractNumId w:val="51"/>
  </w:num>
  <w:num w:numId="13">
    <w:abstractNumId w:val="44"/>
  </w:num>
  <w:num w:numId="14">
    <w:abstractNumId w:val="42"/>
  </w:num>
  <w:num w:numId="15">
    <w:abstractNumId w:val="30"/>
  </w:num>
  <w:num w:numId="16">
    <w:abstractNumId w:val="41"/>
  </w:num>
  <w:num w:numId="17">
    <w:abstractNumId w:val="28"/>
  </w:num>
  <w:num w:numId="18">
    <w:abstractNumId w:val="45"/>
  </w:num>
  <w:num w:numId="19">
    <w:abstractNumId w:val="12"/>
  </w:num>
  <w:num w:numId="20">
    <w:abstractNumId w:val="16"/>
  </w:num>
  <w:num w:numId="21">
    <w:abstractNumId w:val="43"/>
  </w:num>
  <w:num w:numId="22">
    <w:abstractNumId w:val="26"/>
  </w:num>
  <w:num w:numId="23">
    <w:abstractNumId w:val="19"/>
  </w:num>
  <w:num w:numId="24">
    <w:abstractNumId w:val="1"/>
  </w:num>
  <w:num w:numId="25">
    <w:abstractNumId w:val="0"/>
  </w:num>
  <w:num w:numId="26">
    <w:abstractNumId w:val="20"/>
  </w:num>
  <w:num w:numId="27">
    <w:abstractNumId w:val="29"/>
  </w:num>
  <w:num w:numId="28">
    <w:abstractNumId w:val="52"/>
  </w:num>
  <w:num w:numId="29">
    <w:abstractNumId w:val="38"/>
  </w:num>
  <w:num w:numId="30">
    <w:abstractNumId w:val="2"/>
  </w:num>
  <w:num w:numId="31">
    <w:abstractNumId w:val="37"/>
  </w:num>
  <w:num w:numId="32">
    <w:abstractNumId w:val="23"/>
  </w:num>
  <w:num w:numId="33">
    <w:abstractNumId w:val="36"/>
  </w:num>
  <w:num w:numId="34">
    <w:abstractNumId w:val="46"/>
  </w:num>
  <w:num w:numId="35">
    <w:abstractNumId w:val="50"/>
  </w:num>
  <w:num w:numId="36">
    <w:abstractNumId w:val="47"/>
  </w:num>
  <w:num w:numId="37">
    <w:abstractNumId w:val="22"/>
  </w:num>
  <w:num w:numId="38">
    <w:abstractNumId w:val="40"/>
  </w:num>
  <w:num w:numId="39">
    <w:abstractNumId w:val="4"/>
  </w:num>
  <w:num w:numId="40">
    <w:abstractNumId w:val="5"/>
  </w:num>
  <w:num w:numId="41">
    <w:abstractNumId w:val="7"/>
  </w:num>
  <w:num w:numId="42">
    <w:abstractNumId w:val="24"/>
  </w:num>
  <w:num w:numId="43">
    <w:abstractNumId w:val="13"/>
  </w:num>
  <w:num w:numId="44">
    <w:abstractNumId w:val="33"/>
  </w:num>
  <w:num w:numId="45">
    <w:abstractNumId w:val="27"/>
  </w:num>
  <w:num w:numId="46">
    <w:abstractNumId w:val="39"/>
  </w:num>
  <w:num w:numId="47">
    <w:abstractNumId w:val="49"/>
  </w:num>
  <w:num w:numId="48">
    <w:abstractNumId w:val="21"/>
  </w:num>
  <w:num w:numId="49">
    <w:abstractNumId w:val="53"/>
  </w:num>
  <w:num w:numId="50">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8434"/>
  </w:hdrShapeDefaults>
  <w:footnotePr>
    <w:footnote w:id="-1"/>
    <w:footnote w:id="0"/>
  </w:footnotePr>
  <w:endnotePr>
    <w:endnote w:id="-1"/>
    <w:endnote w:id="0"/>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580"/>
    <w:rsid w:val="000A0D60"/>
    <w:rsid w:val="000A1439"/>
    <w:rsid w:val="000A19BC"/>
    <w:rsid w:val="000A389A"/>
    <w:rsid w:val="000A458D"/>
    <w:rsid w:val="000A609C"/>
    <w:rsid w:val="000A63A9"/>
    <w:rsid w:val="000A6670"/>
    <w:rsid w:val="000A75F6"/>
    <w:rsid w:val="000A7B6C"/>
    <w:rsid w:val="000B034F"/>
    <w:rsid w:val="000B0CE2"/>
    <w:rsid w:val="000B2A89"/>
    <w:rsid w:val="000B35CA"/>
    <w:rsid w:val="000B62D7"/>
    <w:rsid w:val="000B6377"/>
    <w:rsid w:val="000B65E9"/>
    <w:rsid w:val="000B687D"/>
    <w:rsid w:val="000B6AAD"/>
    <w:rsid w:val="000B6C62"/>
    <w:rsid w:val="000B6EE6"/>
    <w:rsid w:val="000C4518"/>
    <w:rsid w:val="000C468C"/>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2AE"/>
    <w:rsid w:val="001B5823"/>
    <w:rsid w:val="001B59BA"/>
    <w:rsid w:val="001B5D51"/>
    <w:rsid w:val="001B696A"/>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18D1"/>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3C9C"/>
    <w:rsid w:val="003B43B2"/>
    <w:rsid w:val="003B44CA"/>
    <w:rsid w:val="003B4D38"/>
    <w:rsid w:val="003B51E8"/>
    <w:rsid w:val="003B5AB2"/>
    <w:rsid w:val="003B611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3FAA"/>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942"/>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0AB4"/>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582"/>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4F8C"/>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5AB4"/>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13CB"/>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4B4"/>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6CC6"/>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49E9"/>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8"/>
      </w:numPr>
      <w:jc w:val="both"/>
    </w:p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image" Target="media/image4.jpeg"/><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hyperlink" Target="http://www.treasury.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oleObject" Target="embeddings/oleObject2.bin"/><Relationship Id="rId10" Type="http://schemas.openxmlformats.org/officeDocument/2006/relationships/hyperlink" Target="mailto:michelle.gerard@nhls.ac.za"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hyperlink" Target="http://www.sars.gov.za" TargetMode="External"/><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9155-7C8A-4451-8F33-932E0BAF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23505</Words>
  <Characters>133980</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157171</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james.mabaso</cp:lastModifiedBy>
  <cp:revision>2</cp:revision>
  <cp:lastPrinted>2013-10-29T12:09:00Z</cp:lastPrinted>
  <dcterms:created xsi:type="dcterms:W3CDTF">2013-10-30T05:48:00Z</dcterms:created>
  <dcterms:modified xsi:type="dcterms:W3CDTF">2013-10-30T05:48:00Z</dcterms:modified>
</cp:coreProperties>
</file>