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bookmarkStart w:id="0" w:name="_GoBack"/>
      <w:bookmarkEnd w:id="0"/>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0D157E"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RFQ 1372651</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0D157E" w:rsidRPr="00EA748D" w:rsidRDefault="004A0BD9"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 xml:space="preserve"> </w:t>
            </w:r>
            <w:r w:rsidR="000D157E">
              <w:rPr>
                <w:rFonts w:ascii="Arial" w:hAnsi="Arial" w:cs="Arial"/>
                <w:b/>
                <w:color w:val="000000"/>
                <w:sz w:val="20"/>
                <w:szCs w:val="20"/>
                <w:lang w:val="en-GB"/>
              </w:rPr>
              <w:t>13 April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622ACE"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REQUEST FOR PRINTING OF </w:t>
            </w:r>
            <w:r w:rsidR="000D157E">
              <w:rPr>
                <w:rFonts w:ascii="Arial" w:hAnsi="Arial" w:cs="Arial"/>
                <w:b/>
                <w:sz w:val="20"/>
                <w:szCs w:val="20"/>
                <w:lang w:val="en-GB"/>
              </w:rPr>
              <w:t>50</w:t>
            </w:r>
            <w:r w:rsidR="000570B2">
              <w:rPr>
                <w:rFonts w:ascii="Arial" w:hAnsi="Arial" w:cs="Arial"/>
                <w:b/>
                <w:sz w:val="20"/>
                <w:szCs w:val="20"/>
                <w:lang w:val="en-GB"/>
              </w:rPr>
              <w:t xml:space="preserve"> 000 </w:t>
            </w:r>
            <w:r>
              <w:rPr>
                <w:rFonts w:ascii="Arial" w:hAnsi="Arial" w:cs="Arial"/>
                <w:b/>
                <w:sz w:val="20"/>
                <w:szCs w:val="20"/>
                <w:lang w:val="en-GB"/>
              </w:rPr>
              <w:t>NMC SOP’S</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0D157E">
              <w:rPr>
                <w:rFonts w:ascii="Arial" w:hAnsi="Arial" w:cs="Arial"/>
                <w:b/>
                <w:sz w:val="20"/>
                <w:szCs w:val="20"/>
                <w:lang w:val="en-GB"/>
              </w:rPr>
              <w:t>RES THE QUOTE BOX ON THE 13 APRIL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F73892">
        <w:rPr>
          <w:rFonts w:ascii="Arial" w:hAnsi="Arial" w:cs="Arial"/>
          <w:b/>
          <w:sz w:val="20"/>
          <w:szCs w:val="20"/>
          <w:lang w:val="en-GB"/>
        </w:rPr>
        <w:t>Nandipham</w:t>
      </w:r>
      <w:r w:rsidRPr="00EA748D">
        <w:rPr>
          <w:rFonts w:ascii="Arial" w:hAnsi="Arial" w:cs="Arial"/>
          <w:b/>
          <w:sz w:val="20"/>
          <w:szCs w:val="20"/>
          <w:lang w:val="en-GB"/>
        </w:rPr>
        <w:t>@nicd.ac.za</w:t>
      </w:r>
    </w:p>
    <w:p w:rsidR="00A26755"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p w:rsidR="00622ACE" w:rsidRPr="00EA748D" w:rsidRDefault="00622ACE"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622ACE" w:rsidRDefault="00622ACE" w:rsidP="00365B68">
      <w:pPr>
        <w:tabs>
          <w:tab w:val="left" w:pos="1134"/>
          <w:tab w:val="left" w:pos="1944"/>
          <w:tab w:val="left" w:pos="3384"/>
          <w:tab w:val="left" w:pos="3744"/>
          <w:tab w:val="left" w:pos="4644"/>
          <w:tab w:val="left" w:pos="5760"/>
          <w:tab w:val="left" w:pos="7920"/>
        </w:tabs>
        <w:spacing w:line="360" w:lineRule="auto"/>
        <w:rPr>
          <w:rFonts w:ascii="Verdana" w:hAnsi="Verdana" w:cs="Arial"/>
          <w:b/>
          <w:sz w:val="20"/>
          <w:szCs w:val="22"/>
          <w:lang w:val="en-GB"/>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1B7D9C">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1B7D9C">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lastRenderedPageBreak/>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622ACE"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622ACE"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622ACE"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203BFE">
        <w:rPr>
          <w:rFonts w:ascii="Verdana" w:hAnsi="Verdana"/>
          <w:b/>
          <w:sz w:val="20"/>
          <w:szCs w:val="20"/>
        </w:rPr>
        <w:t xml:space="preserve"> FO</w:t>
      </w:r>
      <w:r w:rsidR="000D157E">
        <w:rPr>
          <w:rFonts w:ascii="Verdana" w:hAnsi="Verdana"/>
          <w:b/>
          <w:sz w:val="20"/>
          <w:szCs w:val="20"/>
        </w:rPr>
        <w:t>R 50</w:t>
      </w:r>
      <w:r w:rsidR="00622ACE">
        <w:rPr>
          <w:rFonts w:ascii="Verdana" w:hAnsi="Verdana"/>
          <w:b/>
          <w:sz w:val="20"/>
          <w:szCs w:val="20"/>
        </w:rPr>
        <w:t xml:space="preserve"> 000 SOP’s</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622ACE" w:rsidP="003900A6">
            <w:pPr>
              <w:pStyle w:val="ListParagraph"/>
              <w:spacing w:line="360" w:lineRule="auto"/>
              <w:ind w:left="0"/>
              <w:rPr>
                <w:rFonts w:ascii="Arial" w:hAnsi="Arial" w:cs="Arial"/>
                <w:bCs/>
                <w:sz w:val="20"/>
                <w:szCs w:val="20"/>
              </w:rPr>
            </w:pPr>
            <w:r>
              <w:rPr>
                <w:rFonts w:ascii="Arial" w:hAnsi="Arial" w:cs="Arial"/>
                <w:bCs/>
                <w:sz w:val="20"/>
                <w:szCs w:val="20"/>
              </w:rPr>
              <w:t>Printing of NMC SOP</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3900A6" w:rsidRPr="000D6A3E" w:rsidTr="00D37FF2">
        <w:tc>
          <w:tcPr>
            <w:tcW w:w="3539" w:type="dxa"/>
          </w:tcPr>
          <w:p w:rsidR="003900A6" w:rsidRDefault="006E4C2D" w:rsidP="00622ACE">
            <w:pPr>
              <w:pStyle w:val="ListParagraph"/>
              <w:spacing w:line="360" w:lineRule="auto"/>
              <w:ind w:left="0"/>
              <w:rPr>
                <w:rFonts w:ascii="Arial" w:hAnsi="Arial" w:cs="Arial"/>
                <w:bCs/>
                <w:sz w:val="20"/>
                <w:szCs w:val="20"/>
              </w:rPr>
            </w:pPr>
            <w:r>
              <w:rPr>
                <w:rFonts w:ascii="Arial" w:hAnsi="Arial" w:cs="Arial"/>
                <w:bCs/>
                <w:sz w:val="20"/>
                <w:szCs w:val="20"/>
              </w:rPr>
              <w:t xml:space="preserve">Printing of NMC </w:t>
            </w:r>
            <w:r w:rsidR="00622ACE">
              <w:rPr>
                <w:rFonts w:ascii="Arial" w:hAnsi="Arial" w:cs="Arial"/>
                <w:bCs/>
                <w:sz w:val="20"/>
                <w:szCs w:val="20"/>
              </w:rPr>
              <w:t>SOP</w:t>
            </w:r>
          </w:p>
        </w:tc>
        <w:tc>
          <w:tcPr>
            <w:tcW w:w="2126" w:type="dxa"/>
          </w:tcPr>
          <w:p w:rsidR="003900A6" w:rsidRDefault="000D157E" w:rsidP="000D157E">
            <w:pPr>
              <w:pStyle w:val="ListParagraph"/>
              <w:spacing w:line="360" w:lineRule="auto"/>
              <w:ind w:left="0"/>
              <w:rPr>
                <w:rFonts w:ascii="Arial" w:hAnsi="Arial" w:cs="Arial"/>
                <w:bCs/>
                <w:sz w:val="20"/>
                <w:szCs w:val="20"/>
              </w:rPr>
            </w:pPr>
            <w:r>
              <w:rPr>
                <w:rFonts w:ascii="Arial" w:hAnsi="Arial" w:cs="Arial"/>
                <w:bCs/>
                <w:sz w:val="20"/>
                <w:szCs w:val="20"/>
              </w:rPr>
              <w:t xml:space="preserve">            50 000</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82029" w:rsidRPr="000D6A3E" w:rsidRDefault="00682029" w:rsidP="00814856">
      <w:pPr>
        <w:spacing w:line="360" w:lineRule="auto"/>
        <w:rPr>
          <w:rFonts w:ascii="Arial" w:hAnsi="Arial" w:cs="Arial"/>
          <w:b/>
          <w:bCs/>
          <w:color w:val="FF0000"/>
          <w:sz w:val="20"/>
          <w:szCs w:val="20"/>
        </w:rPr>
      </w:pPr>
    </w:p>
    <w:p w:rsidR="00682029" w:rsidRDefault="00682029"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tbl>
      <w:tblPr>
        <w:tblStyle w:val="TableGrid"/>
        <w:tblW w:w="0" w:type="auto"/>
        <w:tblLook w:val="04A0" w:firstRow="1" w:lastRow="0" w:firstColumn="1" w:lastColumn="0" w:noHBand="0" w:noVBand="1"/>
      </w:tblPr>
      <w:tblGrid>
        <w:gridCol w:w="4081"/>
        <w:gridCol w:w="2982"/>
        <w:gridCol w:w="2982"/>
      </w:tblGrid>
      <w:tr w:rsidR="00D37FF2" w:rsidRPr="00D37FF2" w:rsidTr="00D37FF2">
        <w:tc>
          <w:tcPr>
            <w:tcW w:w="4081"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SPECIFICATION</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COMPLY</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NOT COMPLY</w:t>
            </w:r>
          </w:p>
        </w:tc>
      </w:tr>
      <w:tr w:rsidR="00D37FF2" w:rsidRPr="00D37FF2" w:rsidTr="00D37FF2">
        <w:tc>
          <w:tcPr>
            <w:tcW w:w="4081" w:type="dxa"/>
          </w:tcPr>
          <w:p w:rsidR="00D37FF2" w:rsidRPr="00D37FF2" w:rsidRDefault="00622ACE" w:rsidP="00D37FF2">
            <w:pPr>
              <w:spacing w:line="360" w:lineRule="auto"/>
              <w:rPr>
                <w:rFonts w:ascii="Arial" w:hAnsi="Arial" w:cs="Arial"/>
                <w:bCs/>
                <w:sz w:val="20"/>
                <w:szCs w:val="20"/>
              </w:rPr>
            </w:pPr>
            <w:r>
              <w:rPr>
                <w:rFonts w:ascii="Arial" w:hAnsi="Arial" w:cs="Arial"/>
                <w:bCs/>
                <w:sz w:val="20"/>
                <w:szCs w:val="20"/>
              </w:rPr>
              <w:t xml:space="preserve">Bidder must request copy of SOP from </w:t>
            </w:r>
            <w:hyperlink r:id="rId12" w:history="1">
              <w:r w:rsidRPr="0075405E">
                <w:rPr>
                  <w:rStyle w:val="Hyperlink"/>
                  <w:rFonts w:ascii="Arial" w:hAnsi="Arial" w:cs="Arial"/>
                  <w:bCs/>
                  <w:sz w:val="20"/>
                  <w:szCs w:val="20"/>
                </w:rPr>
                <w:t>Nandipham@nicd.ac.za</w:t>
              </w:r>
            </w:hyperlink>
            <w:r>
              <w:rPr>
                <w:rFonts w:ascii="Arial" w:hAnsi="Arial" w:cs="Arial"/>
                <w:bCs/>
                <w:sz w:val="20"/>
                <w:szCs w:val="20"/>
              </w:rPr>
              <w:t xml:space="preserve"> in order to quote</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bl>
    <w:p w:rsidR="00D37FF2" w:rsidRPr="00D37FF2" w:rsidRDefault="00D37FF2" w:rsidP="004B7180">
      <w:pPr>
        <w:spacing w:line="360" w:lineRule="auto"/>
        <w:rPr>
          <w:rFonts w:ascii="Arial" w:hAnsi="Arial" w:cs="Arial"/>
          <w:bCs/>
          <w:sz w:val="20"/>
          <w:szCs w:val="20"/>
          <w:u w:val="single"/>
        </w:rPr>
      </w:pPr>
      <w:bookmarkStart w:id="11" w:name="_Toc372610076"/>
    </w:p>
    <w:p w:rsidR="00D37FF2" w:rsidRPr="00D37FF2" w:rsidRDefault="00D37FF2" w:rsidP="004B7180">
      <w:pPr>
        <w:spacing w:line="360" w:lineRule="auto"/>
        <w:rPr>
          <w:rFonts w:ascii="Arial" w:hAnsi="Arial" w:cs="Arial"/>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lastRenderedPageBreak/>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w:t>
      </w:r>
      <w:r w:rsidRPr="00166A4A">
        <w:rPr>
          <w:rFonts w:ascii="Verdana" w:hAnsi="Verdana" w:cs="Arial"/>
          <w:sz w:val="20"/>
          <w:szCs w:val="20"/>
        </w:rPr>
        <w:lastRenderedPageBreak/>
        <w:t xml:space="preserve">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864424"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w:t>
      </w:r>
      <w:r w:rsidRPr="00166A4A">
        <w:rPr>
          <w:rFonts w:ascii="Verdana" w:hAnsi="Verdana"/>
          <w:sz w:val="20"/>
          <w:szCs w:val="20"/>
          <w:lang w:val="en-GB"/>
        </w:rPr>
        <w:lastRenderedPageBreak/>
        <w:t xml:space="preserve">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lastRenderedPageBreak/>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lastRenderedPageBreak/>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lastRenderedPageBreak/>
        <w:t xml:space="preserve">Particulars of representative (Public Officer/Trustee/Partner) </w:t>
      </w:r>
      <w:r w:rsidR="00D02ED7">
        <w:rPr>
          <w:rFonts w:ascii="IRHFP T+ Verdana," w:hAnsi="IRHFP T+ 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lastRenderedPageBreak/>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lastRenderedPageBreak/>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(s), or where it is known that such a relationship exists </w:t>
      </w:r>
      <w:r w:rsidR="00D96BA4" w:rsidRPr="000C1A3B">
        <w:rPr>
          <w:rFonts w:ascii="Verdana" w:hAnsi="Verdana"/>
          <w:sz w:val="20"/>
          <w:szCs w:val="20"/>
        </w:rPr>
        <w:lastRenderedPageBreak/>
        <w:t>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lastRenderedPageBreak/>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lastRenderedPageBreak/>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lastRenderedPageBreak/>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lastRenderedPageBreak/>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lastRenderedPageBreak/>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lastRenderedPageBreak/>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lastRenderedPageBreak/>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lastRenderedPageBreak/>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lastRenderedPageBreak/>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lastRenderedPageBreak/>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w:t>
      </w:r>
      <w:r w:rsidRPr="00AD0E29">
        <w:rPr>
          <w:sz w:val="20"/>
        </w:rPr>
        <w:lastRenderedPageBreak/>
        <w:t xml:space="preserve">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lastRenderedPageBreak/>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lastRenderedPageBreak/>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w:t>
      </w:r>
      <w:r w:rsidRPr="00AD0E29">
        <w:rPr>
          <w:sz w:val="20"/>
        </w:rPr>
        <w:lastRenderedPageBreak/>
        <w:t xml:space="preserve">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lastRenderedPageBreak/>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9C" w:rsidRDefault="001B7D9C">
      <w:r>
        <w:separator/>
      </w:r>
    </w:p>
    <w:p w:rsidR="001B7D9C" w:rsidRDefault="001B7D9C"/>
  </w:endnote>
  <w:endnote w:type="continuationSeparator" w:id="0">
    <w:p w:rsidR="001B7D9C" w:rsidRDefault="001B7D9C">
      <w:r>
        <w:continuationSeparator/>
      </w:r>
    </w:p>
    <w:p w:rsidR="001B7D9C" w:rsidRDefault="001B7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F2" w:rsidRDefault="00D37FF2"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D37FF2" w:rsidRDefault="00D37FF2"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D37FF2" w:rsidRPr="00487022" w:rsidTr="007D7EDE">
      <w:trPr>
        <w:trHeight w:val="182"/>
        <w:jc w:val="center"/>
      </w:trPr>
      <w:tc>
        <w:tcPr>
          <w:tcW w:w="3373" w:type="dxa"/>
        </w:tcPr>
        <w:p w:rsidR="00D37FF2" w:rsidRPr="00487022" w:rsidRDefault="00D37FF2" w:rsidP="007F654A">
          <w:pPr>
            <w:pStyle w:val="Footer"/>
            <w:tabs>
              <w:tab w:val="clear" w:pos="4153"/>
              <w:tab w:val="clear" w:pos="8306"/>
            </w:tabs>
            <w:ind w:right="360"/>
            <w:rPr>
              <w:rFonts w:ascii="Verdana" w:hAnsi="Verdana" w:cs="Arial"/>
              <w:sz w:val="16"/>
              <w:szCs w:val="16"/>
            </w:rPr>
          </w:pPr>
        </w:p>
      </w:tc>
      <w:tc>
        <w:tcPr>
          <w:tcW w:w="2861" w:type="dxa"/>
        </w:tcPr>
        <w:p w:rsidR="00D37FF2" w:rsidRPr="00487022" w:rsidRDefault="00D37FF2"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D37FF2" w:rsidRPr="00487022" w:rsidRDefault="00D37FF2"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1234A">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1234A">
            <w:rPr>
              <w:rStyle w:val="PageNumber"/>
              <w:rFonts w:ascii="Verdana" w:hAnsi="Verdana" w:cs="Arial"/>
              <w:noProof/>
              <w:sz w:val="16"/>
              <w:szCs w:val="16"/>
            </w:rPr>
            <w:t>2</w:t>
          </w:r>
          <w:r w:rsidRPr="00D27B11">
            <w:rPr>
              <w:rStyle w:val="PageNumber"/>
              <w:rFonts w:ascii="Verdana" w:hAnsi="Verdana" w:cs="Arial"/>
              <w:sz w:val="16"/>
              <w:szCs w:val="16"/>
            </w:rPr>
            <w:fldChar w:fldCharType="end"/>
          </w:r>
        </w:p>
      </w:tc>
    </w:tr>
  </w:tbl>
  <w:p w:rsidR="00D37FF2" w:rsidRDefault="00D37F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9C" w:rsidRDefault="001B7D9C">
      <w:r>
        <w:separator/>
      </w:r>
    </w:p>
    <w:p w:rsidR="001B7D9C" w:rsidRDefault="001B7D9C"/>
  </w:footnote>
  <w:footnote w:type="continuationSeparator" w:id="0">
    <w:p w:rsidR="001B7D9C" w:rsidRDefault="001B7D9C">
      <w:r>
        <w:continuationSeparator/>
      </w:r>
    </w:p>
    <w:p w:rsidR="001B7D9C" w:rsidRDefault="001B7D9C"/>
  </w:footnote>
  <w:footnote w:id="1">
    <w:p w:rsidR="00D37FF2" w:rsidRPr="00960C0A" w:rsidRDefault="00D37FF2"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D37FF2" w:rsidRDefault="00D37FF2"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D37FF2" w:rsidRDefault="00D37FF2"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D37FF2" w:rsidRDefault="00D37FF2"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D37FF2" w:rsidRDefault="00D37FF2"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D37FF2" w:rsidRPr="00175032" w:rsidRDefault="00D37FF2" w:rsidP="004E706F">
      <w:pPr>
        <w:numPr>
          <w:ilvl w:val="0"/>
          <w:numId w:val="23"/>
        </w:numPr>
        <w:tabs>
          <w:tab w:val="left" w:pos="709"/>
        </w:tabs>
        <w:ind w:left="709" w:hanging="567"/>
        <w:jc w:val="both"/>
        <w:rPr>
          <w:sz w:val="16"/>
          <w:szCs w:val="16"/>
        </w:rPr>
      </w:pPr>
      <w:r w:rsidRPr="00960C0A">
        <w:rPr>
          <w:sz w:val="16"/>
          <w:szCs w:val="16"/>
        </w:rPr>
        <w:t>Parliament.</w:t>
      </w:r>
    </w:p>
    <w:p w:rsidR="00D37FF2" w:rsidRPr="00960C0A" w:rsidRDefault="00D37FF2"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F2" w:rsidRDefault="00D37FF2"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157E"/>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D9C"/>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4032"/>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2ACE"/>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19DE"/>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9A2"/>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234A"/>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7D5"/>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6A1A"/>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Nandipham@nicd.ac.za"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6430-A5AC-48DD-88D5-6D439BE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9758</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65251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2013-08-16T07:50:00Z</cp:lastPrinted>
  <dcterms:created xsi:type="dcterms:W3CDTF">2018-04-10T09:20:00Z</dcterms:created>
  <dcterms:modified xsi:type="dcterms:W3CDTF">2018-04-10T09:20:00Z</dcterms:modified>
</cp:coreProperties>
</file>